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BF6C40" w:rsidRDefault="004947E8" w:rsidP="00215B92">
      <w:pPr>
        <w:pStyle w:val="Title"/>
      </w:pPr>
      <w:r w:rsidRPr="004947E8">
        <w:t>Project Deliverables Matrix</w:t>
      </w:r>
    </w:p>
    <w:p w:rsidR="009906F5" w:rsidRPr="00215B92" w:rsidRDefault="00F27549" w:rsidP="00215B92">
      <w:pPr>
        <w:pStyle w:val="Subtitle"/>
      </w:pPr>
      <w:bookmarkStart w:id="0" w:name="_ytii46ix4k66" w:colFirst="0" w:colLast="0"/>
      <w:bookmarkEnd w:id="0"/>
      <w:r w:rsidRPr="00215B92">
        <mc:AlternateContent>
          <mc:Choice Requires="wps">
            <w:drawing>
              <wp:anchor distT="0" distB="0" distL="114300" distR="114300" simplePos="0" relativeHeight="251658240"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2370291"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4947E8" w:rsidRPr="004947E8">
        <w:t xml:space="preserve"> Review the list of project deliverables as part of close-out activities</w:t>
      </w:r>
    </w:p>
    <w:p w:rsidR="009906F5" w:rsidRDefault="0070218B" w:rsidP="00A04CDA">
      <w:pPr>
        <w:rPr>
          <w:shd w:val="clear" w:color="auto" w:fill="1C4587"/>
        </w:rPr>
      </w:pPr>
      <w:r>
        <w:rPr>
          <w:noProof/>
          <w:shd w:val="clear" w:color="auto" w:fill="1C4587"/>
        </w:rPr>
        <w:drawing>
          <wp:inline distT="0" distB="0" distL="0" distR="0">
            <wp:extent cx="5486400" cy="122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21026"/>
                    </a:xfrm>
                    <a:prstGeom prst="rect">
                      <a:avLst/>
                    </a:prstGeom>
                  </pic:spPr>
                </pic:pic>
              </a:graphicData>
            </a:graphic>
          </wp:inline>
        </w:drawing>
      </w:r>
    </w:p>
    <w:p w:rsidR="001A4DB5" w:rsidRDefault="001A4DB5" w:rsidP="008235FF">
      <w:pPr>
        <w:pStyle w:val="Heading2"/>
        <w:rPr>
          <w:b w:val="0"/>
          <w:sz w:val="22"/>
          <w:szCs w:val="22"/>
        </w:rPr>
      </w:pPr>
      <w:r w:rsidRPr="001A4DB5">
        <w:rPr>
          <w:b w:val="0"/>
          <w:sz w:val="22"/>
          <w:szCs w:val="22"/>
        </w:rPr>
        <w:t>The Project Deliverables Matrix facilitates review and final approval of deliverables completed by various parties as part of the project process during the “close” phase. It may be useful to begin the development of this table once deliverables are identified in the charter and complete the table during the “close” phase. Archive this matrix for future reference.</w:t>
      </w:r>
    </w:p>
    <w:p w:rsidR="0070218B" w:rsidRPr="008235FF" w:rsidRDefault="00F27549" w:rsidP="008235FF">
      <w:pPr>
        <w:pStyle w:val="Heading2"/>
      </w:pPr>
      <w:r w:rsidRPr="008235FF">
        <w:t>Instructions</w:t>
      </w:r>
    </w:p>
    <w:p w:rsidR="001A4DB5" w:rsidRDefault="001A4DB5" w:rsidP="001A4DB5">
      <w:pPr>
        <w:numPr>
          <w:ilvl w:val="0"/>
          <w:numId w:val="16"/>
        </w:numPr>
        <w:spacing w:before="0" w:after="0"/>
      </w:pPr>
      <w:bookmarkStart w:id="1" w:name="_rboachausb6u" w:colFirst="0" w:colLast="0"/>
      <w:bookmarkStart w:id="2" w:name="_k0c5j8akc632" w:colFirst="0" w:colLast="0"/>
      <w:bookmarkEnd w:id="1"/>
      <w:bookmarkEnd w:id="2"/>
      <w:r>
        <w:t xml:space="preserve">Catalog deliverables completed as part of the project. Refer to the </w:t>
      </w:r>
      <w:r w:rsidRPr="004171DC">
        <w:rPr>
          <w:b/>
        </w:rPr>
        <w:t>Project Charter</w:t>
      </w:r>
      <w:r>
        <w:t xml:space="preserve"> and project plan for reference. </w:t>
      </w:r>
    </w:p>
    <w:p w:rsidR="001A4DB5" w:rsidRDefault="001A4DB5" w:rsidP="001A4DB5">
      <w:pPr>
        <w:numPr>
          <w:ilvl w:val="0"/>
          <w:numId w:val="16"/>
        </w:numPr>
        <w:spacing w:before="0" w:after="0"/>
      </w:pPr>
      <w:r>
        <w:t>Walk through the list of deliverables as part of the project close-out to ensure completion.</w:t>
      </w:r>
    </w:p>
    <w:p w:rsidR="001A4DB5" w:rsidRDefault="001A4DB5" w:rsidP="001A4DB5">
      <w:pPr>
        <w:numPr>
          <w:ilvl w:val="0"/>
          <w:numId w:val="16"/>
        </w:numPr>
        <w:spacing w:before="0" w:after="0"/>
      </w:pPr>
      <w:r>
        <w:t xml:space="preserve">Ensure all project deliverables are archived and accessible for future reference.  </w:t>
      </w:r>
    </w:p>
    <w:p w:rsidR="009906F5" w:rsidRDefault="007006E8" w:rsidP="008235FF">
      <w:pPr>
        <w:pStyle w:val="Heading2"/>
      </w:pPr>
      <w:r>
        <w:t>Helpful hints</w:t>
      </w:r>
      <w:r w:rsidR="00C63E90">
        <w:tab/>
      </w:r>
    </w:p>
    <w:p w:rsidR="00B01EF9" w:rsidRDefault="00B01EF9" w:rsidP="00B01EF9">
      <w:pPr>
        <w:numPr>
          <w:ilvl w:val="0"/>
          <w:numId w:val="17"/>
        </w:numPr>
        <w:spacing w:before="0" w:after="0"/>
      </w:pPr>
      <w:bookmarkStart w:id="3" w:name="_m0w9onq4qgcz" w:colFirst="0" w:colLast="0"/>
      <w:bookmarkEnd w:id="3"/>
      <w:r>
        <w:t xml:space="preserve">Deliverables can be categorized within a project life cycle phase (e.g., initiate deliverables, plan deliverables, etc.) or by domain (e.g., data quality deliverables, change management deliverables, governance deliverable, etc.).  </w:t>
      </w:r>
    </w:p>
    <w:p w:rsidR="00B01EF9" w:rsidRDefault="00B01EF9" w:rsidP="00B01EF9">
      <w:pPr>
        <w:numPr>
          <w:ilvl w:val="0"/>
          <w:numId w:val="17"/>
        </w:numPr>
        <w:spacing w:before="0" w:after="0"/>
      </w:pPr>
      <w:r>
        <w:t xml:space="preserve">Move through the matrix and ensure that all placeholder text in angle brackets (e.g., &lt;project name&gt; and &lt;start date&gt;) is replaced with text specific to the project the matrix is being adapted to describe. </w:t>
      </w:r>
    </w:p>
    <w:p w:rsidR="008D6A72" w:rsidRDefault="00B01EF9" w:rsidP="00A04CDA">
      <w:pPr>
        <w:numPr>
          <w:ilvl w:val="0"/>
          <w:numId w:val="17"/>
        </w:numPr>
        <w:spacing w:before="0" w:after="0"/>
        <w:ind w:right="-540"/>
      </w:pPr>
      <w:r w:rsidRPr="00522801">
        <w:rPr>
          <w:b/>
        </w:rPr>
        <w:t>Bolded text</w:t>
      </w:r>
      <w:r>
        <w:t xml:space="preserve"> (as used above) indicates that the resource referenced is available elsewhere in the IIS Migration Toolkit.</w:t>
      </w:r>
    </w:p>
    <w:p w:rsidR="004D5FA6" w:rsidRPr="004D5FA6" w:rsidRDefault="004D5FA6" w:rsidP="004D5FA6">
      <w:bookmarkStart w:id="4" w:name="_GoBack"/>
      <w:bookmarkEnd w:id="4"/>
    </w:p>
    <w:p w:rsidR="0008131A" w:rsidRDefault="0008131A" w:rsidP="00A04CDA">
      <w:pPr>
        <w:rPr>
          <w:color w:val="666666"/>
        </w:rPr>
      </w:pPr>
      <w:r>
        <w:br w:type="page"/>
      </w:r>
    </w:p>
    <w:p w:rsidR="008D6A72" w:rsidRPr="00E259AE" w:rsidRDefault="00501F80" w:rsidP="00EA73BD">
      <w:pPr>
        <w:pStyle w:val="Heading1"/>
        <w:tabs>
          <w:tab w:val="left" w:pos="7920"/>
        </w:tabs>
      </w:pPr>
      <w:r>
        <w:rPr>
          <w:color w:val="3D85C6"/>
          <w:sz w:val="36"/>
          <w:szCs w:val="36"/>
        </w:rPr>
        <w:lastRenderedPageBreak/>
        <w:t>Project Deliverables Matrix</w:t>
      </w:r>
      <w:r w:rsidR="00EA73BD">
        <w:tab/>
      </w:r>
    </w:p>
    <w:p w:rsidR="00501F80" w:rsidRDefault="00501F80" w:rsidP="00501F80">
      <w:r w:rsidRPr="00501F80">
        <w:t>The following table lists artifacts developed as part of &lt;Project Name&gt;, &lt;start date - end date&gt;. For questions regarding these artifacts, please contact &lt;contact name&gt;.</w:t>
      </w:r>
    </w:p>
    <w:tbl>
      <w:tblPr>
        <w:tblStyle w:val="TableGrid"/>
        <w:tblW w:w="9198" w:type="dxa"/>
        <w:tblLook w:val="04A0" w:firstRow="1" w:lastRow="0" w:firstColumn="1" w:lastColumn="0" w:noHBand="0" w:noVBand="1"/>
      </w:tblPr>
      <w:tblGrid>
        <w:gridCol w:w="2193"/>
        <w:gridCol w:w="2055"/>
        <w:gridCol w:w="2108"/>
        <w:gridCol w:w="2842"/>
      </w:tblGrid>
      <w:tr w:rsidR="00501F80" w:rsidTr="00C96A3A">
        <w:tc>
          <w:tcPr>
            <w:tcW w:w="2193" w:type="dxa"/>
            <w:shd w:val="clear" w:color="auto" w:fill="3D85C6"/>
          </w:tcPr>
          <w:p w:rsidR="00501F80" w:rsidRPr="007B5C78" w:rsidRDefault="00501F80" w:rsidP="00A04CDA">
            <w:pPr>
              <w:pStyle w:val="Tabletext"/>
              <w:rPr>
                <w:b/>
                <w:color w:val="FFFFFF" w:themeColor="background1"/>
              </w:rPr>
            </w:pPr>
            <w:r>
              <w:rPr>
                <w:b/>
                <w:color w:val="FFFFFF" w:themeColor="background1"/>
              </w:rPr>
              <w:t>Project phase/category</w:t>
            </w:r>
          </w:p>
        </w:tc>
        <w:tc>
          <w:tcPr>
            <w:tcW w:w="2055" w:type="dxa"/>
            <w:shd w:val="clear" w:color="auto" w:fill="3D85C6"/>
          </w:tcPr>
          <w:p w:rsidR="00501F80" w:rsidRPr="007B5C78" w:rsidRDefault="00501F80" w:rsidP="00A04CDA">
            <w:pPr>
              <w:pStyle w:val="Tabletext"/>
              <w:rPr>
                <w:b/>
                <w:color w:val="FFFFFF" w:themeColor="background1"/>
              </w:rPr>
            </w:pPr>
            <w:r>
              <w:rPr>
                <w:b/>
                <w:color w:val="FFFFFF" w:themeColor="background1"/>
              </w:rPr>
              <w:t>Group/individual responsible</w:t>
            </w:r>
          </w:p>
        </w:tc>
        <w:tc>
          <w:tcPr>
            <w:tcW w:w="2108" w:type="dxa"/>
            <w:shd w:val="clear" w:color="auto" w:fill="3D85C6"/>
          </w:tcPr>
          <w:p w:rsidR="00501F80" w:rsidRPr="007B5C78" w:rsidRDefault="00501F80" w:rsidP="00A04CDA">
            <w:pPr>
              <w:pStyle w:val="Tabletext"/>
              <w:rPr>
                <w:b/>
                <w:color w:val="FFFFFF" w:themeColor="background1"/>
              </w:rPr>
            </w:pPr>
            <w:r>
              <w:rPr>
                <w:b/>
                <w:color w:val="FFFFFF" w:themeColor="background1"/>
              </w:rPr>
              <w:t>Deliverable/artifact name</w:t>
            </w:r>
          </w:p>
        </w:tc>
        <w:tc>
          <w:tcPr>
            <w:tcW w:w="2842" w:type="dxa"/>
            <w:shd w:val="clear" w:color="auto" w:fill="3D85C6"/>
          </w:tcPr>
          <w:p w:rsidR="00501F80" w:rsidRPr="007B5C78" w:rsidRDefault="00501F80" w:rsidP="00A04CDA">
            <w:pPr>
              <w:pStyle w:val="Tabletext"/>
              <w:rPr>
                <w:b/>
                <w:color w:val="FFFFFF" w:themeColor="background1"/>
              </w:rPr>
            </w:pPr>
            <w:r>
              <w:rPr>
                <w:b/>
                <w:color w:val="FFFFFF" w:themeColor="background1"/>
              </w:rPr>
              <w:t>Description</w:t>
            </w:r>
          </w:p>
        </w:tc>
      </w:tr>
      <w:tr w:rsidR="00501F80" w:rsidTr="00C96A3A">
        <w:tc>
          <w:tcPr>
            <w:tcW w:w="2193" w:type="dxa"/>
          </w:tcPr>
          <w:p w:rsidR="00501F80" w:rsidRDefault="00C96A3A" w:rsidP="00A04CDA">
            <w:r>
              <w:t>&lt;E.g., project management&gt;</w:t>
            </w:r>
          </w:p>
        </w:tc>
        <w:tc>
          <w:tcPr>
            <w:tcW w:w="2055" w:type="dxa"/>
          </w:tcPr>
          <w:p w:rsidR="00501F80" w:rsidRDefault="00501F80" w:rsidP="00A04CDA"/>
        </w:tc>
        <w:tc>
          <w:tcPr>
            <w:tcW w:w="2108" w:type="dxa"/>
          </w:tcPr>
          <w:p w:rsidR="00501F80" w:rsidRDefault="00C96A3A" w:rsidP="00A04CDA">
            <w:r>
              <w:t xml:space="preserve">&lt;E.g., centralized project repository, </w:t>
            </w:r>
            <w:r>
              <w:rPr>
                <w:b/>
              </w:rPr>
              <w:t>RAID L</w:t>
            </w:r>
            <w:r w:rsidRPr="00DF0705">
              <w:rPr>
                <w:b/>
              </w:rPr>
              <w:t>og</w:t>
            </w:r>
            <w:r>
              <w:t>, meeting facilitation&gt;</w:t>
            </w:r>
          </w:p>
        </w:tc>
        <w:tc>
          <w:tcPr>
            <w:tcW w:w="2842" w:type="dxa"/>
          </w:tcPr>
          <w:p w:rsidR="00C96A3A" w:rsidRDefault="00C96A3A" w:rsidP="00C96A3A">
            <w:pPr>
              <w:widowControl w:val="0"/>
              <w:spacing w:before="60"/>
            </w:pPr>
            <w:r>
              <w:t>Examples:</w:t>
            </w:r>
          </w:p>
          <w:p w:rsidR="00C96A3A" w:rsidRDefault="00C96A3A" w:rsidP="00C96A3A">
            <w:pPr>
              <w:widowControl w:val="0"/>
              <w:spacing w:before="60"/>
            </w:pPr>
            <w:r>
              <w:t>&lt;E.g., (centralized project repository:) Established project wiki for access by project team to centralized repository of project artifacts, available at &lt;location&gt;.&gt;</w:t>
            </w:r>
          </w:p>
          <w:p w:rsidR="00C96A3A" w:rsidRDefault="00C96A3A" w:rsidP="00C96A3A">
            <w:pPr>
              <w:widowControl w:val="0"/>
            </w:pPr>
            <w:r>
              <w:t>&lt;E.g., (</w:t>
            </w:r>
            <w:r w:rsidRPr="003628BA">
              <w:rPr>
                <w:b/>
              </w:rPr>
              <w:t>RAID Log</w:t>
            </w:r>
            <w:r>
              <w:t>:) Developed and maintained worksheet to capture, monitor and report project risks, actions, issues, and decisions.&gt;</w:t>
            </w:r>
          </w:p>
          <w:p w:rsidR="00501F80" w:rsidRDefault="00C96A3A" w:rsidP="00C96A3A">
            <w:r>
              <w:t>&lt;E.g., (meeting facilitation:) facilitated/participated in weekly project checkpoint calls; prepared and distributed agenda prior to calls and posted notes to the wiki for reference/follow-up.&gt;</w:t>
            </w:r>
          </w:p>
        </w:tc>
      </w:tr>
      <w:tr w:rsidR="00501F80" w:rsidTr="00C96A3A">
        <w:tc>
          <w:tcPr>
            <w:tcW w:w="2193" w:type="dxa"/>
          </w:tcPr>
          <w:p w:rsidR="00501F80" w:rsidRDefault="00501F80" w:rsidP="00A04CDA"/>
        </w:tc>
        <w:tc>
          <w:tcPr>
            <w:tcW w:w="2055" w:type="dxa"/>
          </w:tcPr>
          <w:p w:rsidR="00501F80" w:rsidRDefault="00501F80" w:rsidP="00A04CDA"/>
        </w:tc>
        <w:tc>
          <w:tcPr>
            <w:tcW w:w="2108" w:type="dxa"/>
          </w:tcPr>
          <w:p w:rsidR="00501F80" w:rsidRDefault="00501F80" w:rsidP="00A04CDA"/>
        </w:tc>
        <w:tc>
          <w:tcPr>
            <w:tcW w:w="2842" w:type="dxa"/>
          </w:tcPr>
          <w:p w:rsidR="00501F80" w:rsidRDefault="00501F80" w:rsidP="00A04CDA"/>
        </w:tc>
      </w:tr>
      <w:tr w:rsidR="007206CC" w:rsidTr="00C96A3A">
        <w:tc>
          <w:tcPr>
            <w:tcW w:w="2193" w:type="dxa"/>
          </w:tcPr>
          <w:p w:rsidR="007206CC" w:rsidRDefault="007206CC" w:rsidP="00A04CDA"/>
        </w:tc>
        <w:tc>
          <w:tcPr>
            <w:tcW w:w="2055" w:type="dxa"/>
          </w:tcPr>
          <w:p w:rsidR="007206CC" w:rsidRDefault="007206CC" w:rsidP="00A04CDA"/>
        </w:tc>
        <w:tc>
          <w:tcPr>
            <w:tcW w:w="2108" w:type="dxa"/>
          </w:tcPr>
          <w:p w:rsidR="007206CC" w:rsidRDefault="007206CC" w:rsidP="00A04CDA"/>
        </w:tc>
        <w:tc>
          <w:tcPr>
            <w:tcW w:w="2842" w:type="dxa"/>
          </w:tcPr>
          <w:p w:rsidR="007206CC" w:rsidRDefault="007206CC" w:rsidP="00A04CDA"/>
        </w:tc>
      </w:tr>
      <w:tr w:rsidR="007206CC" w:rsidTr="00C96A3A">
        <w:tc>
          <w:tcPr>
            <w:tcW w:w="2193" w:type="dxa"/>
          </w:tcPr>
          <w:p w:rsidR="007206CC" w:rsidRDefault="007206CC" w:rsidP="00A04CDA"/>
        </w:tc>
        <w:tc>
          <w:tcPr>
            <w:tcW w:w="2055" w:type="dxa"/>
          </w:tcPr>
          <w:p w:rsidR="007206CC" w:rsidRDefault="007206CC" w:rsidP="00A04CDA"/>
        </w:tc>
        <w:tc>
          <w:tcPr>
            <w:tcW w:w="2108" w:type="dxa"/>
          </w:tcPr>
          <w:p w:rsidR="007206CC" w:rsidRDefault="007206CC" w:rsidP="00A04CDA"/>
        </w:tc>
        <w:tc>
          <w:tcPr>
            <w:tcW w:w="2842" w:type="dxa"/>
          </w:tcPr>
          <w:p w:rsidR="007206CC" w:rsidRDefault="007206CC" w:rsidP="00A04CDA"/>
        </w:tc>
      </w:tr>
      <w:tr w:rsidR="00501F80" w:rsidTr="00C96A3A">
        <w:tc>
          <w:tcPr>
            <w:tcW w:w="2193" w:type="dxa"/>
          </w:tcPr>
          <w:p w:rsidR="00501F80" w:rsidRDefault="00501F80" w:rsidP="00A04CDA"/>
        </w:tc>
        <w:tc>
          <w:tcPr>
            <w:tcW w:w="2055" w:type="dxa"/>
          </w:tcPr>
          <w:p w:rsidR="00501F80" w:rsidRDefault="00501F80" w:rsidP="00A04CDA"/>
        </w:tc>
        <w:tc>
          <w:tcPr>
            <w:tcW w:w="2108" w:type="dxa"/>
          </w:tcPr>
          <w:p w:rsidR="00501F80" w:rsidRDefault="00501F80" w:rsidP="00A04CDA"/>
        </w:tc>
        <w:tc>
          <w:tcPr>
            <w:tcW w:w="2842" w:type="dxa"/>
          </w:tcPr>
          <w:p w:rsidR="00501F80" w:rsidRDefault="00501F80" w:rsidP="00A04CDA"/>
        </w:tc>
      </w:tr>
      <w:tr w:rsidR="00501F80" w:rsidTr="00C96A3A">
        <w:tc>
          <w:tcPr>
            <w:tcW w:w="2193" w:type="dxa"/>
          </w:tcPr>
          <w:p w:rsidR="00501F80" w:rsidRDefault="00501F80" w:rsidP="00A04CDA"/>
        </w:tc>
        <w:tc>
          <w:tcPr>
            <w:tcW w:w="2055" w:type="dxa"/>
          </w:tcPr>
          <w:p w:rsidR="00501F80" w:rsidRDefault="00501F80" w:rsidP="00A04CDA"/>
        </w:tc>
        <w:tc>
          <w:tcPr>
            <w:tcW w:w="2108" w:type="dxa"/>
          </w:tcPr>
          <w:p w:rsidR="00501F80" w:rsidRDefault="00501F80" w:rsidP="00A04CDA"/>
        </w:tc>
        <w:tc>
          <w:tcPr>
            <w:tcW w:w="2842" w:type="dxa"/>
          </w:tcPr>
          <w:p w:rsidR="00501F80" w:rsidRDefault="00501F80" w:rsidP="00A04CDA"/>
        </w:tc>
      </w:tr>
      <w:tr w:rsidR="007206CC" w:rsidTr="00C96A3A">
        <w:tc>
          <w:tcPr>
            <w:tcW w:w="2193" w:type="dxa"/>
          </w:tcPr>
          <w:p w:rsidR="007206CC" w:rsidRDefault="007206CC" w:rsidP="00A04CDA"/>
        </w:tc>
        <w:tc>
          <w:tcPr>
            <w:tcW w:w="2055" w:type="dxa"/>
          </w:tcPr>
          <w:p w:rsidR="007206CC" w:rsidRDefault="007206CC" w:rsidP="00A04CDA"/>
        </w:tc>
        <w:tc>
          <w:tcPr>
            <w:tcW w:w="2108" w:type="dxa"/>
          </w:tcPr>
          <w:p w:rsidR="007206CC" w:rsidRDefault="007206CC" w:rsidP="00A04CDA"/>
        </w:tc>
        <w:tc>
          <w:tcPr>
            <w:tcW w:w="2842" w:type="dxa"/>
          </w:tcPr>
          <w:p w:rsidR="007206CC" w:rsidRDefault="007206CC" w:rsidP="00A04CDA"/>
        </w:tc>
      </w:tr>
      <w:tr w:rsidR="007206CC" w:rsidTr="00C96A3A">
        <w:tc>
          <w:tcPr>
            <w:tcW w:w="2193" w:type="dxa"/>
          </w:tcPr>
          <w:p w:rsidR="007206CC" w:rsidRDefault="007206CC" w:rsidP="00A04CDA"/>
        </w:tc>
        <w:tc>
          <w:tcPr>
            <w:tcW w:w="2055" w:type="dxa"/>
          </w:tcPr>
          <w:p w:rsidR="007206CC" w:rsidRDefault="007206CC" w:rsidP="00A04CDA"/>
        </w:tc>
        <w:tc>
          <w:tcPr>
            <w:tcW w:w="2108" w:type="dxa"/>
          </w:tcPr>
          <w:p w:rsidR="007206CC" w:rsidRDefault="007206CC" w:rsidP="00A04CDA"/>
        </w:tc>
        <w:tc>
          <w:tcPr>
            <w:tcW w:w="2842" w:type="dxa"/>
          </w:tcPr>
          <w:p w:rsidR="007206CC" w:rsidRDefault="007206CC" w:rsidP="00A04CDA"/>
        </w:tc>
      </w:tr>
    </w:tbl>
    <w:p w:rsidR="009906F5" w:rsidRDefault="009906F5" w:rsidP="007206CC">
      <w:bookmarkStart w:id="5" w:name="_2frmx3tmcmrt" w:colFirst="0" w:colLast="0"/>
      <w:bookmarkEnd w:id="5"/>
    </w:p>
    <w:sectPr w:rsidR="009906F5" w:rsidSect="00EE259A">
      <w:headerReference w:type="default" r:id="rId8"/>
      <w:footerReference w:type="even" r:id="rId9"/>
      <w:footerReference w:type="default" r:id="rId10"/>
      <w:headerReference w:type="first" r:id="rId11"/>
      <w:footerReference w:type="first" r:id="rId12"/>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50A" w:rsidRDefault="0092450A" w:rsidP="00A04CDA">
      <w:r>
        <w:separator/>
      </w:r>
    </w:p>
  </w:endnote>
  <w:endnote w:type="continuationSeparator" w:id="0">
    <w:p w:rsidR="0092450A" w:rsidRDefault="0092450A"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900A5A">
          <w:rPr>
            <w:noProof/>
          </w:rPr>
          <w:t>2</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EA73BD" w:rsidTr="001654F6">
      <w:tc>
        <w:tcPr>
          <w:tcW w:w="6408" w:type="dxa"/>
          <w:vAlign w:val="center"/>
        </w:tcPr>
        <w:p w:rsidR="00EA73BD" w:rsidRPr="00535C42" w:rsidRDefault="00EA73BD" w:rsidP="00344897">
          <w:pPr>
            <w:tabs>
              <w:tab w:val="left" w:pos="1155"/>
            </w:tabs>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1654F6">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sidR="00344897">
            <w:rPr>
              <w:i/>
              <w:color w:val="666666"/>
              <w:sz w:val="20"/>
              <w:szCs w:val="20"/>
            </w:rPr>
            <w:t>August 19</w:t>
          </w:r>
          <w:r w:rsidRPr="00535C42">
            <w:rPr>
              <w:i/>
              <w:color w:val="666666"/>
              <w:sz w:val="20"/>
              <w:szCs w:val="20"/>
            </w:rPr>
            <w:t xml:space="preserve">, </w:t>
          </w:r>
          <w:r w:rsidR="00344897">
            <w:rPr>
              <w:i/>
              <w:color w:val="666666"/>
              <w:sz w:val="20"/>
              <w:szCs w:val="20"/>
            </w:rPr>
            <w:t>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EA73BD" w:rsidRDefault="00EA73BD" w:rsidP="00094169">
          <w:pPr>
            <w:pStyle w:val="Footer"/>
            <w:spacing w:before="0" w:after="0"/>
            <w:jc w:val="center"/>
          </w:pPr>
          <w:r>
            <w:rPr>
              <w:noProof/>
            </w:rPr>
            <w:drawing>
              <wp:inline distT="0" distB="0" distL="0" distR="0" wp14:anchorId="5E7749D5" wp14:editId="2158522A">
                <wp:extent cx="1604457"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EA73BD" w:rsidRPr="00094169" w:rsidRDefault="00EA73BD" w:rsidP="00094169">
          <w:pPr>
            <w:spacing w:before="0" w:after="0"/>
            <w:ind w:right="180"/>
            <w:jc w:val="center"/>
            <w:rPr>
              <w:b/>
              <w:color w:val="3D85C6"/>
              <w:sz w:val="20"/>
            </w:rPr>
          </w:pPr>
          <w:r w:rsidRPr="00A04CDA">
            <w:rPr>
              <w:b/>
              <w:color w:val="3D85C6"/>
              <w:sz w:val="20"/>
            </w:rPr>
            <w:t>phii.org/migration-toolkit</w:t>
          </w:r>
        </w:p>
      </w:tc>
    </w:tr>
  </w:tbl>
  <w:p w:rsidR="00C64646" w:rsidRDefault="00C64646" w:rsidP="00EE259A">
    <w:pPr>
      <w:pStyle w:val="Footer"/>
      <w:spacing w:before="0" w:after="0"/>
      <w:jc w:val="right"/>
    </w:pPr>
  </w:p>
  <w:p w:rsidR="00EE259A" w:rsidRDefault="00EE259A" w:rsidP="004E0D7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50A" w:rsidRDefault="0092450A" w:rsidP="00A04CDA">
      <w:r>
        <w:separator/>
      </w:r>
    </w:p>
  </w:footnote>
  <w:footnote w:type="continuationSeparator" w:id="0">
    <w:p w:rsidR="0092450A" w:rsidRDefault="0092450A"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EA73BD" w:rsidTr="00EA73BD">
      <w:tc>
        <w:tcPr>
          <w:tcW w:w="7938" w:type="dxa"/>
        </w:tcPr>
        <w:p w:rsidR="00EA73BD" w:rsidRPr="00EA73BD" w:rsidRDefault="00C96A3A" w:rsidP="00EA73BD">
          <w:pPr>
            <w:spacing w:before="280" w:after="0"/>
            <w:ind w:right="187"/>
            <w:jc w:val="right"/>
            <w:rPr>
              <w:b/>
              <w:color w:val="3D85C6"/>
              <w:sz w:val="20"/>
            </w:rPr>
          </w:pPr>
          <w:r w:rsidRPr="00C96A3A">
            <w:rPr>
              <w:i/>
              <w:color w:val="3D85C6"/>
              <w:sz w:val="20"/>
            </w:rPr>
            <w:t>Project Deliverables Matrix</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Default="00EA73BD" w:rsidP="00EA73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925ACB"/>
    <w:multiLevelType w:val="multilevel"/>
    <w:tmpl w:val="ACA60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78131F"/>
    <w:multiLevelType w:val="multilevel"/>
    <w:tmpl w:val="6A162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4"/>
  </w:num>
  <w:num w:numId="3">
    <w:abstractNumId w:val="7"/>
  </w:num>
  <w:num w:numId="4">
    <w:abstractNumId w:val="2"/>
  </w:num>
  <w:num w:numId="5">
    <w:abstractNumId w:val="5"/>
  </w:num>
  <w:num w:numId="6">
    <w:abstractNumId w:val="3"/>
  </w:num>
  <w:num w:numId="7">
    <w:abstractNumId w:val="8"/>
  </w:num>
  <w:num w:numId="8">
    <w:abstractNumId w:val="11"/>
  </w:num>
  <w:num w:numId="9">
    <w:abstractNumId w:val="6"/>
  </w:num>
  <w:num w:numId="10">
    <w:abstractNumId w:val="9"/>
  </w:num>
  <w:num w:numId="11">
    <w:abstractNumId w:val="13"/>
  </w:num>
  <w:num w:numId="12">
    <w:abstractNumId w:val="0"/>
  </w:num>
  <w:num w:numId="13">
    <w:abstractNumId w:val="1"/>
  </w:num>
  <w:num w:numId="14">
    <w:abstractNumId w:val="12"/>
  </w:num>
  <w:num w:numId="15">
    <w:abstractNumId w:val="15"/>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562E1"/>
    <w:rsid w:val="0008131A"/>
    <w:rsid w:val="00085992"/>
    <w:rsid w:val="000912EF"/>
    <w:rsid w:val="00094169"/>
    <w:rsid w:val="00097BFB"/>
    <w:rsid w:val="000B7210"/>
    <w:rsid w:val="000D0B65"/>
    <w:rsid w:val="00121C2C"/>
    <w:rsid w:val="001654F6"/>
    <w:rsid w:val="001A29BE"/>
    <w:rsid w:val="001A4DB5"/>
    <w:rsid w:val="001B4347"/>
    <w:rsid w:val="001F66F6"/>
    <w:rsid w:val="00215B92"/>
    <w:rsid w:val="00245843"/>
    <w:rsid w:val="00292473"/>
    <w:rsid w:val="002B3F42"/>
    <w:rsid w:val="002E7E85"/>
    <w:rsid w:val="0032765F"/>
    <w:rsid w:val="00336DC7"/>
    <w:rsid w:val="00344897"/>
    <w:rsid w:val="00361DA5"/>
    <w:rsid w:val="003662EE"/>
    <w:rsid w:val="0037611A"/>
    <w:rsid w:val="003843D4"/>
    <w:rsid w:val="003C1849"/>
    <w:rsid w:val="003C4058"/>
    <w:rsid w:val="003F71FB"/>
    <w:rsid w:val="004267F3"/>
    <w:rsid w:val="0043390F"/>
    <w:rsid w:val="00461445"/>
    <w:rsid w:val="004947E8"/>
    <w:rsid w:val="004B79CC"/>
    <w:rsid w:val="004C3817"/>
    <w:rsid w:val="004D5FA6"/>
    <w:rsid w:val="004E0D7A"/>
    <w:rsid w:val="004F54AC"/>
    <w:rsid w:val="004F7589"/>
    <w:rsid w:val="005007B0"/>
    <w:rsid w:val="00501F80"/>
    <w:rsid w:val="005033A0"/>
    <w:rsid w:val="00503E36"/>
    <w:rsid w:val="00535C42"/>
    <w:rsid w:val="005936B9"/>
    <w:rsid w:val="005A61CE"/>
    <w:rsid w:val="00631210"/>
    <w:rsid w:val="00682B42"/>
    <w:rsid w:val="006A0EC7"/>
    <w:rsid w:val="006A5F31"/>
    <w:rsid w:val="006C4F7A"/>
    <w:rsid w:val="006D582A"/>
    <w:rsid w:val="006F01DE"/>
    <w:rsid w:val="006F36E9"/>
    <w:rsid w:val="007006E8"/>
    <w:rsid w:val="0070218B"/>
    <w:rsid w:val="007206CC"/>
    <w:rsid w:val="007B5C78"/>
    <w:rsid w:val="007C34FD"/>
    <w:rsid w:val="007D19D5"/>
    <w:rsid w:val="007D3DA8"/>
    <w:rsid w:val="007E7070"/>
    <w:rsid w:val="008076B4"/>
    <w:rsid w:val="008235FF"/>
    <w:rsid w:val="00827522"/>
    <w:rsid w:val="008D6A72"/>
    <w:rsid w:val="008F1714"/>
    <w:rsid w:val="008F5F83"/>
    <w:rsid w:val="00900A5A"/>
    <w:rsid w:val="00902A01"/>
    <w:rsid w:val="0092450A"/>
    <w:rsid w:val="00924770"/>
    <w:rsid w:val="00946CA6"/>
    <w:rsid w:val="009705E6"/>
    <w:rsid w:val="00983299"/>
    <w:rsid w:val="009906F5"/>
    <w:rsid w:val="009F0300"/>
    <w:rsid w:val="00A04CDA"/>
    <w:rsid w:val="00A0769E"/>
    <w:rsid w:val="00A30C12"/>
    <w:rsid w:val="00A65C7F"/>
    <w:rsid w:val="00A6653D"/>
    <w:rsid w:val="00A902C3"/>
    <w:rsid w:val="00AB31B0"/>
    <w:rsid w:val="00B01EF9"/>
    <w:rsid w:val="00B105A6"/>
    <w:rsid w:val="00B420B7"/>
    <w:rsid w:val="00B47CFB"/>
    <w:rsid w:val="00BA2A49"/>
    <w:rsid w:val="00BF6C40"/>
    <w:rsid w:val="00C17969"/>
    <w:rsid w:val="00C17B5C"/>
    <w:rsid w:val="00C37DFE"/>
    <w:rsid w:val="00C5584B"/>
    <w:rsid w:val="00C63E90"/>
    <w:rsid w:val="00C64646"/>
    <w:rsid w:val="00C96A3A"/>
    <w:rsid w:val="00D2632E"/>
    <w:rsid w:val="00D3298E"/>
    <w:rsid w:val="00D557A5"/>
    <w:rsid w:val="00DB0715"/>
    <w:rsid w:val="00DE54E2"/>
    <w:rsid w:val="00E259AE"/>
    <w:rsid w:val="00E73DBA"/>
    <w:rsid w:val="00E85DB8"/>
    <w:rsid w:val="00EA73BD"/>
    <w:rsid w:val="00EB4A98"/>
    <w:rsid w:val="00EB4E14"/>
    <w:rsid w:val="00EE259A"/>
    <w:rsid w:val="00EE588C"/>
    <w:rsid w:val="00EF4CB9"/>
    <w:rsid w:val="00F27549"/>
    <w:rsid w:val="00F50BEA"/>
    <w:rsid w:val="00F81827"/>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305C"/>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8235FF"/>
    <w:pPr>
      <w:keepNext/>
      <w:keepLines/>
      <w:spacing w:before="18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11</cp:revision>
  <dcterms:created xsi:type="dcterms:W3CDTF">2019-11-06T21:24:00Z</dcterms:created>
  <dcterms:modified xsi:type="dcterms:W3CDTF">2019-11-06T21:34:00Z</dcterms:modified>
</cp:coreProperties>
</file>