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88" w:rsidRPr="00B82488" w:rsidRDefault="00B82488" w:rsidP="00B82488">
      <w:pPr>
        <w:pStyle w:val="Normal1"/>
        <w:rPr>
          <w:rFonts w:asciiTheme="minorHAnsi" w:hAnsiTheme="minorHAnsi"/>
          <w:szCs w:val="22"/>
        </w:rPr>
      </w:pPr>
      <w:r w:rsidRPr="00B82488">
        <w:rPr>
          <w:rFonts w:asciiTheme="minorHAnsi" w:hAnsiTheme="minorHAnsi"/>
          <w:szCs w:val="22"/>
        </w:rPr>
        <w:t xml:space="preserve">An important component of creating your agency’s surveillance program is identifying the program’s stakeholders, which may be individuals and organizations, as well as the information systems involved in the data exchange for your program, collectively referred to as “actors” in the program. </w:t>
      </w:r>
    </w:p>
    <w:p w:rsidR="00B82488" w:rsidRPr="00B82488" w:rsidRDefault="00B82488" w:rsidP="00B82488">
      <w:pPr>
        <w:pStyle w:val="Normal1"/>
        <w:rPr>
          <w:rFonts w:asciiTheme="minorHAnsi" w:hAnsiTheme="minorHAnsi"/>
          <w:szCs w:val="22"/>
        </w:rPr>
      </w:pPr>
    </w:p>
    <w:p w:rsidR="00B82488" w:rsidRPr="00B82488" w:rsidRDefault="00B82488" w:rsidP="00B82488">
      <w:pPr>
        <w:pStyle w:val="Normal1"/>
        <w:rPr>
          <w:rFonts w:asciiTheme="minorHAnsi" w:hAnsiTheme="minorHAnsi"/>
          <w:szCs w:val="22"/>
        </w:rPr>
      </w:pPr>
      <w:r w:rsidRPr="00B82488">
        <w:rPr>
          <w:rFonts w:asciiTheme="minorHAnsi" w:hAnsiTheme="minorHAnsi"/>
          <w:szCs w:val="22"/>
        </w:rPr>
        <w:t xml:space="preserve">Some actors play an essential role in the surveillance program </w:t>
      </w:r>
      <w:r w:rsidR="0052337A">
        <w:rPr>
          <w:rFonts w:asciiTheme="minorHAnsi" w:hAnsiTheme="minorHAnsi"/>
          <w:szCs w:val="22"/>
        </w:rPr>
        <w:t>as primary players</w:t>
      </w:r>
      <w:r w:rsidRPr="00B82488">
        <w:rPr>
          <w:rFonts w:asciiTheme="minorHAnsi" w:hAnsiTheme="minorHAnsi"/>
          <w:szCs w:val="22"/>
        </w:rPr>
        <w:t>. Other secondary actors play a less essential role. While acknowledging these secondary actors, focus your efforts on clarifying the goals and responsibilities of the primary actors for your new surveillance program. Ultimately, your team must ensure the surveillance program supports the goals of all the primary actors.</w:t>
      </w:r>
    </w:p>
    <w:p w:rsidR="00B82488" w:rsidRPr="00B82488" w:rsidRDefault="00B82488" w:rsidP="00B82488">
      <w:pPr>
        <w:pStyle w:val="Normal1"/>
        <w:contextualSpacing/>
        <w:rPr>
          <w:rFonts w:asciiTheme="minorHAnsi" w:hAnsiTheme="minorHAnsi"/>
          <w:szCs w:val="22"/>
        </w:rPr>
      </w:pPr>
    </w:p>
    <w:p w:rsidR="00B82488" w:rsidRPr="00B82488" w:rsidRDefault="00B82488" w:rsidP="00B82488">
      <w:pPr>
        <w:pStyle w:val="Normal1"/>
        <w:contextualSpacing/>
        <w:rPr>
          <w:rFonts w:asciiTheme="minorHAnsi" w:hAnsiTheme="minorHAnsi"/>
          <w:szCs w:val="22"/>
        </w:rPr>
      </w:pPr>
      <w:r w:rsidRPr="00B82488">
        <w:rPr>
          <w:rFonts w:asciiTheme="minorHAnsi" w:hAnsiTheme="minorHAnsi"/>
          <w:szCs w:val="22"/>
        </w:rPr>
        <w:t xml:space="preserve">The </w:t>
      </w:r>
      <w:r w:rsidRPr="0052337A">
        <w:rPr>
          <w:rFonts w:asciiTheme="minorHAnsi" w:hAnsiTheme="minorHAnsi"/>
          <w:i/>
          <w:szCs w:val="22"/>
        </w:rPr>
        <w:t>Identifying Actors and Goals</w:t>
      </w:r>
      <w:r w:rsidRPr="00E75DA9">
        <w:rPr>
          <w:rFonts w:asciiTheme="minorHAnsi" w:hAnsiTheme="minorHAnsi"/>
          <w:szCs w:val="22"/>
        </w:rPr>
        <w:t xml:space="preserve"> </w:t>
      </w:r>
      <w:r w:rsidR="0052337A">
        <w:rPr>
          <w:rFonts w:asciiTheme="minorHAnsi" w:hAnsiTheme="minorHAnsi"/>
          <w:szCs w:val="22"/>
        </w:rPr>
        <w:t>w</w:t>
      </w:r>
      <w:r w:rsidRPr="00E75DA9">
        <w:rPr>
          <w:rFonts w:asciiTheme="minorHAnsi" w:hAnsiTheme="minorHAnsi"/>
          <w:szCs w:val="22"/>
        </w:rPr>
        <w:t>orksheet</w:t>
      </w:r>
      <w:r w:rsidRPr="00B82488">
        <w:rPr>
          <w:rFonts w:asciiTheme="minorHAnsi" w:hAnsiTheme="minorHAnsi"/>
          <w:szCs w:val="22"/>
        </w:rPr>
        <w:t xml:space="preserve"> provides </w:t>
      </w:r>
      <w:proofErr w:type="gramStart"/>
      <w:r w:rsidRPr="00B82488">
        <w:rPr>
          <w:rFonts w:asciiTheme="minorHAnsi" w:hAnsiTheme="minorHAnsi"/>
          <w:szCs w:val="22"/>
        </w:rPr>
        <w:t>questions</w:t>
      </w:r>
      <w:proofErr w:type="gramEnd"/>
      <w:r w:rsidRPr="00B82488">
        <w:rPr>
          <w:rFonts w:asciiTheme="minorHAnsi" w:hAnsiTheme="minorHAnsi"/>
          <w:szCs w:val="22"/>
        </w:rPr>
        <w:t xml:space="preserve"> your team, or a wider group of SMEs, can answer in a brainstorming session to help complete the worksheet. Ideally, your group will include both programmatic and technical staff. </w:t>
      </w:r>
    </w:p>
    <w:p w:rsidR="00B82488" w:rsidRPr="00B82488" w:rsidRDefault="00B82488" w:rsidP="00B82488">
      <w:pPr>
        <w:pStyle w:val="Normal1"/>
        <w:contextualSpacing/>
        <w:rPr>
          <w:rFonts w:asciiTheme="minorHAnsi" w:hAnsiTheme="minorHAnsi"/>
          <w:szCs w:val="22"/>
        </w:rPr>
      </w:pPr>
    </w:p>
    <w:p w:rsidR="00B82488" w:rsidRPr="00B82488" w:rsidRDefault="00B82488" w:rsidP="00B82488">
      <w:pPr>
        <w:pStyle w:val="Normal1"/>
        <w:rPr>
          <w:rFonts w:asciiTheme="minorHAnsi" w:hAnsiTheme="minorHAnsi"/>
          <w:szCs w:val="22"/>
        </w:rPr>
      </w:pPr>
      <w:r w:rsidRPr="00B82488">
        <w:rPr>
          <w:rFonts w:asciiTheme="minorHAnsi" w:hAnsiTheme="minorHAnsi"/>
          <w:szCs w:val="22"/>
        </w:rPr>
        <w:t>When complete, the table will contain a comprehensive, initial list of the primary actors involved in the data exchange for your program, their roles and responsibilities within the surveillance program, and what their information needs and/or their data exchange goals</w:t>
      </w:r>
      <w:r w:rsidR="0052337A" w:rsidRPr="0052337A">
        <w:rPr>
          <w:rFonts w:asciiTheme="minorHAnsi" w:hAnsiTheme="minorHAnsi"/>
          <w:szCs w:val="22"/>
        </w:rPr>
        <w:t xml:space="preserve"> </w:t>
      </w:r>
      <w:r w:rsidR="0052337A" w:rsidRPr="00B82488">
        <w:rPr>
          <w:rFonts w:asciiTheme="minorHAnsi" w:hAnsiTheme="minorHAnsi"/>
          <w:szCs w:val="22"/>
        </w:rPr>
        <w:t>are</w:t>
      </w:r>
      <w:r w:rsidRPr="00B82488">
        <w:rPr>
          <w:rFonts w:asciiTheme="minorHAnsi" w:hAnsiTheme="minorHAnsi"/>
          <w:szCs w:val="22"/>
        </w:rPr>
        <w:t>. This document can later serve as a launch pad for creating use case narratives and for focusing workflow analysis, among other downstream program planning activities.</w:t>
      </w:r>
    </w:p>
    <w:p w:rsidR="00B82488" w:rsidRPr="00B82488" w:rsidRDefault="00B82488" w:rsidP="00B82488">
      <w:pPr>
        <w:pStyle w:val="Normal1"/>
        <w:rPr>
          <w:rFonts w:asciiTheme="minorHAnsi" w:hAnsiTheme="minorHAnsi"/>
          <w:szCs w:val="22"/>
        </w:rPr>
      </w:pPr>
    </w:p>
    <w:p w:rsidR="00B82488" w:rsidRPr="00B82488" w:rsidRDefault="00B82488" w:rsidP="00B82488">
      <w:pPr>
        <w:pStyle w:val="Normal1"/>
        <w:contextualSpacing/>
        <w:rPr>
          <w:rFonts w:asciiTheme="minorHAnsi" w:hAnsiTheme="minorHAnsi"/>
          <w:szCs w:val="22"/>
        </w:rPr>
      </w:pPr>
      <w:r w:rsidRPr="00B82488">
        <w:rPr>
          <w:rFonts w:asciiTheme="minorHAnsi" w:hAnsiTheme="minorHAnsi"/>
          <w:szCs w:val="22"/>
        </w:rPr>
        <w:t>Reference the example below of a completed table for a chronic disease surveillance program to aid the group in completing the exercise. Alternatively, you can complete the table as a draft to which SMEs can respond.</w:t>
      </w:r>
    </w:p>
    <w:p w:rsidR="00E75DA9" w:rsidRDefault="00E75DA9">
      <w:pPr>
        <w:spacing w:line="259" w:lineRule="auto"/>
        <w:rPr>
          <w:rFonts w:eastAsia="Arial" w:cs="Arial"/>
          <w:b/>
          <w:color w:val="000000"/>
          <w:szCs w:val="22"/>
        </w:rPr>
      </w:pPr>
      <w:r>
        <w:rPr>
          <w:b/>
          <w:szCs w:val="22"/>
        </w:rPr>
        <w:br w:type="page"/>
      </w:r>
    </w:p>
    <w:p w:rsidR="00B82488" w:rsidRPr="00B82488" w:rsidRDefault="00B82488" w:rsidP="00B82488">
      <w:pPr>
        <w:pStyle w:val="Normal1"/>
        <w:keepNext/>
        <w:spacing w:before="60" w:after="60"/>
        <w:rPr>
          <w:rFonts w:asciiTheme="minorHAnsi" w:hAnsiTheme="minorHAnsi"/>
          <w:szCs w:val="22"/>
        </w:rPr>
      </w:pPr>
      <w:r w:rsidRPr="00B82488">
        <w:rPr>
          <w:rFonts w:asciiTheme="minorHAnsi" w:hAnsiTheme="minorHAnsi"/>
          <w:b/>
          <w:szCs w:val="22"/>
        </w:rPr>
        <w:lastRenderedPageBreak/>
        <w:t xml:space="preserve">Example of Primary </w:t>
      </w:r>
      <w:r w:rsidR="0052337A">
        <w:rPr>
          <w:rFonts w:asciiTheme="minorHAnsi" w:hAnsiTheme="minorHAnsi"/>
          <w:b/>
          <w:szCs w:val="22"/>
        </w:rPr>
        <w:t>a</w:t>
      </w:r>
      <w:r w:rsidRPr="00B82488">
        <w:rPr>
          <w:rFonts w:asciiTheme="minorHAnsi" w:hAnsiTheme="minorHAnsi"/>
          <w:b/>
          <w:szCs w:val="22"/>
        </w:rPr>
        <w:t xml:space="preserve">ctors, </w:t>
      </w:r>
      <w:r w:rsidR="0052337A">
        <w:rPr>
          <w:rFonts w:asciiTheme="minorHAnsi" w:hAnsiTheme="minorHAnsi"/>
          <w:b/>
          <w:szCs w:val="22"/>
        </w:rPr>
        <w:t>i</w:t>
      </w:r>
      <w:r w:rsidRPr="00B82488">
        <w:rPr>
          <w:rFonts w:asciiTheme="minorHAnsi" w:hAnsiTheme="minorHAnsi"/>
          <w:b/>
          <w:szCs w:val="22"/>
        </w:rPr>
        <w:t xml:space="preserve">nformation </w:t>
      </w:r>
      <w:r w:rsidR="0052337A">
        <w:rPr>
          <w:rFonts w:asciiTheme="minorHAnsi" w:hAnsiTheme="minorHAnsi"/>
          <w:b/>
          <w:szCs w:val="22"/>
        </w:rPr>
        <w:t>n</w:t>
      </w:r>
      <w:r w:rsidRPr="00B82488">
        <w:rPr>
          <w:rFonts w:asciiTheme="minorHAnsi" w:hAnsiTheme="minorHAnsi"/>
          <w:b/>
          <w:szCs w:val="22"/>
        </w:rPr>
        <w:t xml:space="preserve">eeds and </w:t>
      </w:r>
      <w:r w:rsidR="0052337A">
        <w:rPr>
          <w:rFonts w:asciiTheme="minorHAnsi" w:hAnsiTheme="minorHAnsi"/>
          <w:b/>
          <w:szCs w:val="22"/>
        </w:rPr>
        <w:t>g</w:t>
      </w:r>
      <w:r w:rsidRPr="00B82488">
        <w:rPr>
          <w:rFonts w:asciiTheme="minorHAnsi" w:hAnsiTheme="minorHAnsi"/>
          <w:b/>
          <w:szCs w:val="22"/>
        </w:rPr>
        <w:t xml:space="preserve">oals for </w:t>
      </w:r>
      <w:r w:rsidR="0052337A">
        <w:rPr>
          <w:rFonts w:asciiTheme="minorHAnsi" w:hAnsiTheme="minorHAnsi"/>
          <w:b/>
          <w:szCs w:val="22"/>
        </w:rPr>
        <w:t>c</w:t>
      </w:r>
      <w:r w:rsidRPr="00B82488">
        <w:rPr>
          <w:rFonts w:asciiTheme="minorHAnsi" w:hAnsiTheme="minorHAnsi"/>
          <w:b/>
          <w:szCs w:val="22"/>
        </w:rPr>
        <w:t xml:space="preserve">hronic </w:t>
      </w:r>
      <w:r w:rsidR="0052337A">
        <w:rPr>
          <w:rFonts w:asciiTheme="minorHAnsi" w:hAnsiTheme="minorHAnsi"/>
          <w:b/>
          <w:szCs w:val="22"/>
        </w:rPr>
        <w:t>d</w:t>
      </w:r>
      <w:r w:rsidRPr="00B82488">
        <w:rPr>
          <w:rFonts w:asciiTheme="minorHAnsi" w:hAnsiTheme="minorHAnsi"/>
          <w:b/>
          <w:szCs w:val="22"/>
        </w:rPr>
        <w:t xml:space="preserve">isease </w:t>
      </w:r>
      <w:r w:rsidR="0052337A">
        <w:rPr>
          <w:rFonts w:asciiTheme="minorHAnsi" w:hAnsiTheme="minorHAnsi"/>
          <w:b/>
          <w:szCs w:val="22"/>
        </w:rPr>
        <w:t>s</w:t>
      </w:r>
      <w:r w:rsidRPr="00B82488">
        <w:rPr>
          <w:rFonts w:asciiTheme="minorHAnsi" w:hAnsiTheme="minorHAnsi"/>
          <w:b/>
          <w:szCs w:val="22"/>
        </w:rPr>
        <w:t xml:space="preserve">urveillance </w:t>
      </w:r>
      <w:r w:rsidR="0052337A">
        <w:rPr>
          <w:rFonts w:asciiTheme="minorHAnsi" w:hAnsiTheme="minorHAnsi"/>
          <w:b/>
          <w:szCs w:val="22"/>
        </w:rPr>
        <w:t>r</w:t>
      </w:r>
      <w:bookmarkStart w:id="0" w:name="_GoBack"/>
      <w:bookmarkEnd w:id="0"/>
      <w:r w:rsidRPr="00B82488">
        <w:rPr>
          <w:rFonts w:asciiTheme="minorHAnsi" w:hAnsiTheme="minorHAnsi"/>
          <w:b/>
          <w:szCs w:val="22"/>
        </w:rPr>
        <w:t>eporting*</w:t>
      </w:r>
      <w:r w:rsidR="00E75DA9">
        <w:rPr>
          <w:rFonts w:asciiTheme="minorHAnsi" w:hAnsiTheme="minorHAnsi"/>
          <w:b/>
          <w:szCs w:val="22"/>
        </w:rPr>
        <w:br/>
      </w:r>
    </w:p>
    <w:tbl>
      <w:tblPr>
        <w:tblW w:w="883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150"/>
        <w:gridCol w:w="3240"/>
      </w:tblGrid>
      <w:tr w:rsidR="00B82488" w:rsidRPr="00B82488" w:rsidTr="00B82488">
        <w:tc>
          <w:tcPr>
            <w:tcW w:w="2448" w:type="dxa"/>
            <w:shd w:val="clear" w:color="auto" w:fill="92D050"/>
            <w:vAlign w:val="center"/>
          </w:tcPr>
          <w:p w:rsidR="00B82488" w:rsidRPr="00B82488" w:rsidRDefault="00B82488" w:rsidP="00D64C39">
            <w:pPr>
              <w:pStyle w:val="Normal1"/>
              <w:jc w:val="center"/>
              <w:rPr>
                <w:rFonts w:asciiTheme="minorHAnsi" w:hAnsiTheme="minorHAnsi"/>
                <w:szCs w:val="22"/>
              </w:rPr>
            </w:pPr>
            <w:r w:rsidRPr="00B82488">
              <w:rPr>
                <w:rFonts w:asciiTheme="minorHAnsi" w:hAnsiTheme="minorHAnsi"/>
                <w:b/>
                <w:szCs w:val="22"/>
              </w:rPr>
              <w:t>Primary Actors</w:t>
            </w:r>
          </w:p>
        </w:tc>
        <w:tc>
          <w:tcPr>
            <w:tcW w:w="3150" w:type="dxa"/>
            <w:shd w:val="clear" w:color="auto" w:fill="92D050"/>
            <w:vAlign w:val="center"/>
          </w:tcPr>
          <w:p w:rsidR="00B82488" w:rsidRPr="00B82488" w:rsidRDefault="00B82488" w:rsidP="00D64C39">
            <w:pPr>
              <w:pStyle w:val="Normal1"/>
              <w:jc w:val="center"/>
              <w:rPr>
                <w:rFonts w:asciiTheme="minorHAnsi" w:hAnsiTheme="minorHAnsi"/>
                <w:szCs w:val="22"/>
              </w:rPr>
            </w:pPr>
            <w:r w:rsidRPr="00B82488">
              <w:rPr>
                <w:rFonts w:asciiTheme="minorHAnsi" w:hAnsiTheme="minorHAnsi"/>
                <w:b/>
                <w:szCs w:val="22"/>
              </w:rPr>
              <w:t>Roles and Responsibilities</w:t>
            </w:r>
          </w:p>
        </w:tc>
        <w:tc>
          <w:tcPr>
            <w:tcW w:w="3240" w:type="dxa"/>
            <w:shd w:val="clear" w:color="auto" w:fill="92D050"/>
          </w:tcPr>
          <w:p w:rsidR="00B82488" w:rsidRPr="00B82488" w:rsidRDefault="00B82488" w:rsidP="00D64C39">
            <w:pPr>
              <w:pStyle w:val="Normal1"/>
              <w:jc w:val="center"/>
              <w:rPr>
                <w:rFonts w:asciiTheme="minorHAnsi" w:hAnsiTheme="minorHAnsi"/>
                <w:b/>
                <w:szCs w:val="22"/>
              </w:rPr>
            </w:pPr>
            <w:r w:rsidRPr="00B82488">
              <w:rPr>
                <w:rFonts w:asciiTheme="minorHAnsi" w:hAnsiTheme="minorHAnsi"/>
                <w:b/>
                <w:szCs w:val="22"/>
              </w:rPr>
              <w:t xml:space="preserve">Information Needs and/or </w:t>
            </w:r>
          </w:p>
          <w:p w:rsidR="00B82488" w:rsidRPr="00B82488" w:rsidRDefault="00B82488" w:rsidP="00D64C39">
            <w:pPr>
              <w:pStyle w:val="Normal1"/>
              <w:jc w:val="center"/>
              <w:rPr>
                <w:rFonts w:asciiTheme="minorHAnsi" w:hAnsiTheme="minorHAnsi"/>
                <w:szCs w:val="22"/>
              </w:rPr>
            </w:pPr>
            <w:r w:rsidRPr="00B82488">
              <w:rPr>
                <w:rFonts w:asciiTheme="minorHAnsi" w:hAnsiTheme="minorHAnsi"/>
                <w:b/>
                <w:szCs w:val="22"/>
              </w:rPr>
              <w:t>Messaging Goals</w:t>
            </w:r>
          </w:p>
        </w:tc>
      </w:tr>
      <w:tr w:rsidR="00B82488" w:rsidRPr="00B82488" w:rsidTr="00D64C39">
        <w:tc>
          <w:tcPr>
            <w:tcW w:w="2448" w:type="dxa"/>
          </w:tcPr>
          <w:p w:rsidR="00B82488" w:rsidRPr="00B82488" w:rsidRDefault="00B82488" w:rsidP="00D64C39">
            <w:pPr>
              <w:pStyle w:val="Normal1"/>
              <w:rPr>
                <w:rFonts w:asciiTheme="minorHAnsi" w:hAnsiTheme="minorHAnsi"/>
                <w:szCs w:val="22"/>
              </w:rPr>
            </w:pPr>
            <w:r w:rsidRPr="00B82488">
              <w:rPr>
                <w:rFonts w:asciiTheme="minorHAnsi" w:hAnsiTheme="minorHAnsi"/>
                <w:szCs w:val="22"/>
              </w:rPr>
              <w:t>Clinician(s)</w:t>
            </w:r>
          </w:p>
        </w:tc>
        <w:tc>
          <w:tcPr>
            <w:tcW w:w="3150" w:type="dxa"/>
          </w:tcPr>
          <w:p w:rsidR="00B82488" w:rsidRPr="00B82488" w:rsidRDefault="00B82488" w:rsidP="0052337A">
            <w:pPr>
              <w:pStyle w:val="Normal1"/>
              <w:numPr>
                <w:ilvl w:val="0"/>
                <w:numId w:val="24"/>
              </w:numPr>
              <w:spacing w:before="60" w:after="60"/>
              <w:ind w:left="366"/>
              <w:rPr>
                <w:rFonts w:asciiTheme="minorHAnsi" w:hAnsiTheme="minorHAnsi"/>
                <w:szCs w:val="22"/>
              </w:rPr>
            </w:pPr>
            <w:r w:rsidRPr="00B82488">
              <w:rPr>
                <w:rFonts w:asciiTheme="minorHAnsi" w:hAnsiTheme="minorHAnsi"/>
                <w:szCs w:val="22"/>
              </w:rPr>
              <w:t>Collect information from patient, observations, lab results, etc.</w:t>
            </w:r>
          </w:p>
          <w:p w:rsidR="00B82488" w:rsidRPr="00B82488" w:rsidRDefault="00B82488" w:rsidP="0052337A">
            <w:pPr>
              <w:pStyle w:val="Normal1"/>
              <w:numPr>
                <w:ilvl w:val="0"/>
                <w:numId w:val="24"/>
              </w:numPr>
              <w:spacing w:before="60" w:after="60"/>
              <w:ind w:left="366"/>
              <w:rPr>
                <w:rFonts w:asciiTheme="minorHAnsi" w:hAnsiTheme="minorHAnsi"/>
                <w:szCs w:val="22"/>
              </w:rPr>
            </w:pPr>
            <w:r w:rsidRPr="00B82488">
              <w:rPr>
                <w:rFonts w:asciiTheme="minorHAnsi" w:hAnsiTheme="minorHAnsi"/>
                <w:szCs w:val="22"/>
              </w:rPr>
              <w:t>Enter relevant information into EHR-S</w:t>
            </w:r>
          </w:p>
        </w:tc>
        <w:tc>
          <w:tcPr>
            <w:tcW w:w="3240" w:type="dxa"/>
          </w:tcPr>
          <w:p w:rsidR="00B82488" w:rsidRPr="00B82488" w:rsidRDefault="00B82488" w:rsidP="0052337A">
            <w:pPr>
              <w:pStyle w:val="Normal1"/>
              <w:numPr>
                <w:ilvl w:val="0"/>
                <w:numId w:val="24"/>
              </w:numPr>
              <w:spacing w:before="60" w:after="60"/>
              <w:ind w:left="366"/>
              <w:rPr>
                <w:rFonts w:asciiTheme="minorHAnsi" w:hAnsiTheme="minorHAnsi"/>
                <w:szCs w:val="22"/>
              </w:rPr>
            </w:pPr>
            <w:r w:rsidRPr="00B82488">
              <w:rPr>
                <w:rFonts w:asciiTheme="minorHAnsi" w:hAnsiTheme="minorHAnsi"/>
                <w:szCs w:val="22"/>
              </w:rPr>
              <w:t>Accurate and complete information on patient status/condition</w:t>
            </w:r>
          </w:p>
          <w:p w:rsidR="00B82488" w:rsidRPr="00B82488" w:rsidRDefault="00B82488" w:rsidP="0052337A">
            <w:pPr>
              <w:pStyle w:val="Normal1"/>
              <w:numPr>
                <w:ilvl w:val="0"/>
                <w:numId w:val="24"/>
              </w:numPr>
              <w:spacing w:before="60" w:after="60"/>
              <w:ind w:left="366"/>
              <w:rPr>
                <w:rFonts w:asciiTheme="minorHAnsi" w:hAnsiTheme="minorHAnsi"/>
                <w:szCs w:val="22"/>
              </w:rPr>
            </w:pPr>
            <w:r w:rsidRPr="00B82488">
              <w:rPr>
                <w:rFonts w:asciiTheme="minorHAnsi" w:hAnsiTheme="minorHAnsi"/>
                <w:szCs w:val="22"/>
              </w:rPr>
              <w:t xml:space="preserve">An EHR that can faithfully capture/encode clinical information </w:t>
            </w:r>
          </w:p>
        </w:tc>
      </w:tr>
      <w:tr w:rsidR="00B82488" w:rsidRPr="00B82488" w:rsidTr="00D64C39">
        <w:tc>
          <w:tcPr>
            <w:tcW w:w="2448" w:type="dxa"/>
          </w:tcPr>
          <w:p w:rsidR="00B82488" w:rsidRPr="00B82488" w:rsidRDefault="00B82488" w:rsidP="00D64C39">
            <w:pPr>
              <w:pStyle w:val="Normal1"/>
              <w:rPr>
                <w:rFonts w:asciiTheme="minorHAnsi" w:hAnsiTheme="minorHAnsi"/>
                <w:szCs w:val="22"/>
              </w:rPr>
            </w:pPr>
            <w:r w:rsidRPr="00B82488">
              <w:rPr>
                <w:rFonts w:asciiTheme="minorHAnsi" w:hAnsiTheme="minorHAnsi"/>
                <w:szCs w:val="22"/>
              </w:rPr>
              <w:t>Electronic Health Record System (EHR-S)</w:t>
            </w:r>
          </w:p>
        </w:tc>
        <w:tc>
          <w:tcPr>
            <w:tcW w:w="3150" w:type="dxa"/>
          </w:tcPr>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House a person’s electronic health record</w:t>
            </w:r>
          </w:p>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Make person’s record available to authorized users</w:t>
            </w:r>
          </w:p>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Apply business rules to identify chronic disease cases</w:t>
            </w:r>
          </w:p>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Extract a subset of data elements from records identified above and report as chronic disease cases</w:t>
            </w:r>
          </w:p>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Provide appropriate privacy and security safeguards</w:t>
            </w:r>
          </w:p>
        </w:tc>
        <w:tc>
          <w:tcPr>
            <w:tcW w:w="3240" w:type="dxa"/>
          </w:tcPr>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Securely send chronic disease case reports to PHCDSIS</w:t>
            </w:r>
          </w:p>
          <w:p w:rsidR="00B82488" w:rsidRPr="00B82488" w:rsidRDefault="00B82488" w:rsidP="0052337A">
            <w:pPr>
              <w:pStyle w:val="Normal1"/>
              <w:numPr>
                <w:ilvl w:val="0"/>
                <w:numId w:val="23"/>
              </w:numPr>
              <w:spacing w:before="60" w:after="60"/>
              <w:ind w:left="366"/>
              <w:rPr>
                <w:rFonts w:asciiTheme="minorHAnsi" w:hAnsiTheme="minorHAnsi"/>
                <w:szCs w:val="22"/>
              </w:rPr>
            </w:pPr>
            <w:r w:rsidRPr="00B82488">
              <w:rPr>
                <w:rFonts w:asciiTheme="minorHAnsi" w:hAnsiTheme="minorHAnsi"/>
                <w:szCs w:val="22"/>
              </w:rPr>
              <w:t>Receive acknowledgements or other information from public health surveillance system</w:t>
            </w:r>
          </w:p>
          <w:p w:rsidR="00B82488" w:rsidRPr="00B82488" w:rsidRDefault="00B82488" w:rsidP="00D64C39">
            <w:pPr>
              <w:pStyle w:val="Normal1"/>
              <w:spacing w:before="60" w:after="60"/>
              <w:rPr>
                <w:rFonts w:asciiTheme="minorHAnsi" w:hAnsiTheme="minorHAnsi"/>
                <w:szCs w:val="22"/>
              </w:rPr>
            </w:pPr>
          </w:p>
          <w:p w:rsidR="00B82488" w:rsidRPr="00B82488" w:rsidRDefault="00B82488" w:rsidP="00D64C39">
            <w:pPr>
              <w:pStyle w:val="Normal1"/>
              <w:spacing w:before="60" w:after="60"/>
              <w:rPr>
                <w:rFonts w:asciiTheme="minorHAnsi" w:hAnsiTheme="minorHAnsi"/>
                <w:szCs w:val="22"/>
              </w:rPr>
            </w:pPr>
          </w:p>
        </w:tc>
      </w:tr>
      <w:tr w:rsidR="00B82488" w:rsidRPr="00B82488" w:rsidTr="00D64C39">
        <w:tc>
          <w:tcPr>
            <w:tcW w:w="2448" w:type="dxa"/>
          </w:tcPr>
          <w:p w:rsidR="00B82488" w:rsidRPr="00B82488" w:rsidRDefault="00B82488" w:rsidP="00D64C39">
            <w:pPr>
              <w:pStyle w:val="Normal1"/>
              <w:rPr>
                <w:rFonts w:asciiTheme="minorHAnsi" w:hAnsiTheme="minorHAnsi"/>
                <w:szCs w:val="22"/>
              </w:rPr>
            </w:pPr>
            <w:r w:rsidRPr="00B82488">
              <w:rPr>
                <w:rFonts w:asciiTheme="minorHAnsi" w:hAnsiTheme="minorHAnsi"/>
                <w:szCs w:val="22"/>
              </w:rPr>
              <w:t>Public health surveillance staff</w:t>
            </w:r>
          </w:p>
        </w:tc>
        <w:tc>
          <w:tcPr>
            <w:tcW w:w="3150" w:type="dxa"/>
          </w:tcPr>
          <w:p w:rsidR="00B82488" w:rsidRPr="00B82488" w:rsidRDefault="00B82488" w:rsidP="00D64C39">
            <w:pPr>
              <w:pStyle w:val="Normal1"/>
              <w:spacing w:before="60" w:after="60"/>
              <w:rPr>
                <w:rFonts w:asciiTheme="minorHAnsi" w:hAnsiTheme="minorHAnsi"/>
                <w:szCs w:val="22"/>
              </w:rPr>
            </w:pPr>
            <w:r w:rsidRPr="00B82488">
              <w:rPr>
                <w:rFonts w:asciiTheme="minorHAnsi" w:hAnsiTheme="minorHAnsi"/>
                <w:szCs w:val="22"/>
              </w:rPr>
              <w:t xml:space="preserve">Analyze and act on surveillance information </w:t>
            </w:r>
          </w:p>
        </w:tc>
        <w:tc>
          <w:tcPr>
            <w:tcW w:w="3240" w:type="dxa"/>
          </w:tcPr>
          <w:p w:rsidR="00B82488" w:rsidRPr="00B82488" w:rsidRDefault="00B82488" w:rsidP="00D64C39">
            <w:pPr>
              <w:pStyle w:val="Normal1"/>
              <w:spacing w:before="60" w:after="60"/>
              <w:rPr>
                <w:rFonts w:asciiTheme="minorHAnsi" w:hAnsiTheme="minorHAnsi"/>
                <w:szCs w:val="22"/>
              </w:rPr>
            </w:pPr>
            <w:r w:rsidRPr="00B82488">
              <w:rPr>
                <w:rFonts w:asciiTheme="minorHAnsi" w:hAnsiTheme="minorHAnsi"/>
                <w:szCs w:val="22"/>
              </w:rPr>
              <w:t>Timely, accurate and complete information on chronic disease incidence, prevalence, burden</w:t>
            </w:r>
          </w:p>
        </w:tc>
      </w:tr>
      <w:tr w:rsidR="00B82488" w:rsidRPr="00B82488" w:rsidTr="00D64C39">
        <w:tc>
          <w:tcPr>
            <w:tcW w:w="2448" w:type="dxa"/>
          </w:tcPr>
          <w:p w:rsidR="00B82488" w:rsidRPr="00B82488" w:rsidRDefault="0052337A" w:rsidP="00D64C39">
            <w:pPr>
              <w:pStyle w:val="Normal1"/>
              <w:rPr>
                <w:rFonts w:asciiTheme="minorHAnsi" w:hAnsiTheme="minorHAnsi"/>
                <w:szCs w:val="22"/>
              </w:rPr>
            </w:pPr>
            <w:r>
              <w:rPr>
                <w:rFonts w:asciiTheme="minorHAnsi" w:hAnsiTheme="minorHAnsi"/>
                <w:szCs w:val="22"/>
              </w:rPr>
              <w:t>Public Health</w:t>
            </w:r>
            <w:r w:rsidR="00B82488" w:rsidRPr="00B82488">
              <w:rPr>
                <w:rFonts w:asciiTheme="minorHAnsi" w:hAnsiTheme="minorHAnsi"/>
                <w:szCs w:val="22"/>
              </w:rPr>
              <w:t xml:space="preserve"> Chronic Disease Surveillance Information System (PHCDSIS)</w:t>
            </w:r>
          </w:p>
          <w:p w:rsidR="00B82488" w:rsidRPr="00B82488" w:rsidRDefault="00B82488" w:rsidP="00D64C39">
            <w:pPr>
              <w:pStyle w:val="Normal1"/>
              <w:rPr>
                <w:rFonts w:asciiTheme="minorHAnsi" w:hAnsiTheme="minorHAnsi"/>
                <w:szCs w:val="22"/>
              </w:rPr>
            </w:pPr>
          </w:p>
        </w:tc>
        <w:tc>
          <w:tcPr>
            <w:tcW w:w="3150" w:type="dxa"/>
          </w:tcPr>
          <w:p w:rsidR="00B82488" w:rsidRPr="00B82488" w:rsidRDefault="00B82488" w:rsidP="0052337A">
            <w:pPr>
              <w:pStyle w:val="Normal1"/>
              <w:numPr>
                <w:ilvl w:val="0"/>
                <w:numId w:val="22"/>
              </w:numPr>
              <w:spacing w:before="60" w:after="60"/>
              <w:ind w:left="366"/>
              <w:rPr>
                <w:rFonts w:asciiTheme="minorHAnsi" w:hAnsiTheme="minorHAnsi"/>
                <w:szCs w:val="22"/>
              </w:rPr>
            </w:pPr>
            <w:r w:rsidRPr="00B82488">
              <w:rPr>
                <w:rFonts w:asciiTheme="minorHAnsi" w:hAnsiTheme="minorHAnsi"/>
                <w:szCs w:val="22"/>
              </w:rPr>
              <w:t>Support aggregate reporting and analysis</w:t>
            </w:r>
          </w:p>
          <w:p w:rsidR="00B82488" w:rsidRPr="00B82488" w:rsidRDefault="00B82488" w:rsidP="0052337A">
            <w:pPr>
              <w:pStyle w:val="Normal1"/>
              <w:numPr>
                <w:ilvl w:val="0"/>
                <w:numId w:val="22"/>
              </w:numPr>
              <w:spacing w:before="60" w:after="60"/>
              <w:ind w:left="366"/>
              <w:rPr>
                <w:rFonts w:asciiTheme="minorHAnsi" w:hAnsiTheme="minorHAnsi"/>
                <w:szCs w:val="22"/>
              </w:rPr>
            </w:pPr>
            <w:r w:rsidRPr="00B82488">
              <w:rPr>
                <w:rFonts w:asciiTheme="minorHAnsi" w:hAnsiTheme="minorHAnsi"/>
                <w:szCs w:val="22"/>
              </w:rPr>
              <w:t>Support case finding</w:t>
            </w:r>
          </w:p>
          <w:p w:rsidR="00B82488" w:rsidRPr="00B82488" w:rsidRDefault="00B82488" w:rsidP="0052337A">
            <w:pPr>
              <w:pStyle w:val="Normal1"/>
              <w:numPr>
                <w:ilvl w:val="0"/>
                <w:numId w:val="22"/>
              </w:numPr>
              <w:spacing w:before="60" w:after="60"/>
              <w:ind w:left="366"/>
              <w:rPr>
                <w:rFonts w:asciiTheme="minorHAnsi" w:hAnsiTheme="minorHAnsi"/>
                <w:szCs w:val="22"/>
              </w:rPr>
            </w:pPr>
            <w:r w:rsidRPr="00B82488">
              <w:rPr>
                <w:rFonts w:asciiTheme="minorHAnsi" w:hAnsiTheme="minorHAnsi"/>
                <w:szCs w:val="22"/>
              </w:rPr>
              <w:t>Provide appropriate privacy and security safeguards</w:t>
            </w:r>
          </w:p>
          <w:p w:rsidR="00B82488" w:rsidRPr="00B82488" w:rsidRDefault="00B82488" w:rsidP="00D64C39">
            <w:pPr>
              <w:pStyle w:val="Normal1"/>
              <w:spacing w:before="60" w:after="60"/>
              <w:rPr>
                <w:rFonts w:asciiTheme="minorHAnsi" w:hAnsiTheme="minorHAnsi"/>
                <w:szCs w:val="22"/>
              </w:rPr>
            </w:pPr>
          </w:p>
        </w:tc>
        <w:tc>
          <w:tcPr>
            <w:tcW w:w="3240" w:type="dxa"/>
          </w:tcPr>
          <w:p w:rsidR="00B82488" w:rsidRPr="00B82488" w:rsidRDefault="00B82488" w:rsidP="0052337A">
            <w:pPr>
              <w:pStyle w:val="Normal1"/>
              <w:numPr>
                <w:ilvl w:val="0"/>
                <w:numId w:val="22"/>
              </w:numPr>
              <w:spacing w:before="60" w:after="60"/>
              <w:ind w:left="366"/>
              <w:rPr>
                <w:rFonts w:asciiTheme="minorHAnsi" w:hAnsiTheme="minorHAnsi"/>
                <w:szCs w:val="22"/>
              </w:rPr>
            </w:pPr>
            <w:r w:rsidRPr="00B82488">
              <w:rPr>
                <w:rFonts w:asciiTheme="minorHAnsi" w:hAnsiTheme="minorHAnsi"/>
                <w:szCs w:val="22"/>
              </w:rPr>
              <w:t xml:space="preserve">Receive and store reports from EHR-S on persons with chronic disease diagnosis </w:t>
            </w:r>
          </w:p>
          <w:p w:rsidR="00B82488" w:rsidRPr="00B82488" w:rsidRDefault="00B82488" w:rsidP="0052337A">
            <w:pPr>
              <w:pStyle w:val="Normal1"/>
              <w:numPr>
                <w:ilvl w:val="0"/>
                <w:numId w:val="22"/>
              </w:numPr>
              <w:spacing w:before="60" w:after="60"/>
              <w:ind w:left="366"/>
              <w:rPr>
                <w:rFonts w:asciiTheme="minorHAnsi" w:hAnsiTheme="minorHAnsi"/>
                <w:szCs w:val="22"/>
              </w:rPr>
            </w:pPr>
            <w:r w:rsidRPr="00B82488">
              <w:rPr>
                <w:rFonts w:asciiTheme="minorHAnsi" w:hAnsiTheme="minorHAnsi"/>
                <w:szCs w:val="22"/>
              </w:rPr>
              <w:t>Send acknowledgement messages</w:t>
            </w:r>
          </w:p>
        </w:tc>
      </w:tr>
    </w:tbl>
    <w:p w:rsidR="00E75DA9" w:rsidRDefault="00E75DA9" w:rsidP="00B82488">
      <w:pPr>
        <w:pStyle w:val="Normal1"/>
        <w:spacing w:before="120"/>
        <w:rPr>
          <w:rFonts w:asciiTheme="minorHAnsi" w:hAnsiTheme="minorHAnsi"/>
          <w:szCs w:val="22"/>
        </w:rPr>
      </w:pPr>
    </w:p>
    <w:p w:rsidR="00E75DA9" w:rsidRDefault="00E75DA9" w:rsidP="00B82488">
      <w:pPr>
        <w:pStyle w:val="Normal1"/>
        <w:spacing w:before="120"/>
        <w:rPr>
          <w:rFonts w:asciiTheme="minorHAnsi" w:hAnsiTheme="minorHAnsi"/>
          <w:szCs w:val="22"/>
        </w:rPr>
      </w:pPr>
    </w:p>
    <w:p w:rsidR="00E75DA9" w:rsidRDefault="00E75DA9" w:rsidP="00B82488">
      <w:pPr>
        <w:pStyle w:val="Normal1"/>
        <w:spacing w:before="120"/>
        <w:rPr>
          <w:rFonts w:asciiTheme="minorHAnsi" w:hAnsiTheme="minorHAnsi"/>
          <w:szCs w:val="22"/>
        </w:rPr>
      </w:pPr>
    </w:p>
    <w:tbl>
      <w:tblPr>
        <w:tblW w:w="883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150"/>
        <w:gridCol w:w="3240"/>
      </w:tblGrid>
      <w:tr w:rsidR="00E75DA9" w:rsidRPr="00B82488" w:rsidTr="004B3382">
        <w:tc>
          <w:tcPr>
            <w:tcW w:w="2448" w:type="dxa"/>
            <w:shd w:val="clear" w:color="auto" w:fill="92D050"/>
            <w:vAlign w:val="center"/>
          </w:tcPr>
          <w:p w:rsidR="00E75DA9" w:rsidRPr="00B82488" w:rsidRDefault="00E75DA9" w:rsidP="004B3382">
            <w:pPr>
              <w:pStyle w:val="Normal1"/>
              <w:jc w:val="center"/>
              <w:rPr>
                <w:rFonts w:asciiTheme="minorHAnsi" w:hAnsiTheme="minorHAnsi"/>
                <w:szCs w:val="22"/>
              </w:rPr>
            </w:pPr>
            <w:r w:rsidRPr="00B82488">
              <w:rPr>
                <w:rFonts w:asciiTheme="minorHAnsi" w:hAnsiTheme="minorHAnsi"/>
                <w:b/>
                <w:szCs w:val="22"/>
              </w:rPr>
              <w:t>Primary Actors</w:t>
            </w:r>
          </w:p>
        </w:tc>
        <w:tc>
          <w:tcPr>
            <w:tcW w:w="3150" w:type="dxa"/>
            <w:shd w:val="clear" w:color="auto" w:fill="92D050"/>
            <w:vAlign w:val="center"/>
          </w:tcPr>
          <w:p w:rsidR="00E75DA9" w:rsidRPr="00B82488" w:rsidRDefault="00E75DA9" w:rsidP="004B3382">
            <w:pPr>
              <w:pStyle w:val="Normal1"/>
              <w:jc w:val="center"/>
              <w:rPr>
                <w:rFonts w:asciiTheme="minorHAnsi" w:hAnsiTheme="minorHAnsi"/>
                <w:szCs w:val="22"/>
              </w:rPr>
            </w:pPr>
            <w:r w:rsidRPr="00B82488">
              <w:rPr>
                <w:rFonts w:asciiTheme="minorHAnsi" w:hAnsiTheme="minorHAnsi"/>
                <w:b/>
                <w:szCs w:val="22"/>
              </w:rPr>
              <w:t>Roles and Responsibilities</w:t>
            </w:r>
          </w:p>
        </w:tc>
        <w:tc>
          <w:tcPr>
            <w:tcW w:w="3240" w:type="dxa"/>
            <w:shd w:val="clear" w:color="auto" w:fill="92D050"/>
          </w:tcPr>
          <w:p w:rsidR="00E75DA9" w:rsidRPr="00B82488" w:rsidRDefault="00E75DA9" w:rsidP="004B3382">
            <w:pPr>
              <w:pStyle w:val="Normal1"/>
              <w:jc w:val="center"/>
              <w:rPr>
                <w:rFonts w:asciiTheme="minorHAnsi" w:hAnsiTheme="minorHAnsi"/>
                <w:b/>
                <w:szCs w:val="22"/>
              </w:rPr>
            </w:pPr>
            <w:r w:rsidRPr="00B82488">
              <w:rPr>
                <w:rFonts w:asciiTheme="minorHAnsi" w:hAnsiTheme="minorHAnsi"/>
                <w:b/>
                <w:szCs w:val="22"/>
              </w:rPr>
              <w:t xml:space="preserve">Information Needs and/or </w:t>
            </w:r>
          </w:p>
          <w:p w:rsidR="00E75DA9" w:rsidRPr="00B82488" w:rsidRDefault="00E75DA9" w:rsidP="004B3382">
            <w:pPr>
              <w:pStyle w:val="Normal1"/>
              <w:jc w:val="center"/>
              <w:rPr>
                <w:rFonts w:asciiTheme="minorHAnsi" w:hAnsiTheme="minorHAnsi"/>
                <w:szCs w:val="22"/>
              </w:rPr>
            </w:pPr>
            <w:r w:rsidRPr="00B82488">
              <w:rPr>
                <w:rFonts w:asciiTheme="minorHAnsi" w:hAnsiTheme="minorHAnsi"/>
                <w:b/>
                <w:szCs w:val="22"/>
              </w:rPr>
              <w:t>Messaging Goals</w:t>
            </w:r>
          </w:p>
        </w:tc>
      </w:tr>
      <w:tr w:rsidR="00E75DA9" w:rsidRPr="00B82488" w:rsidTr="004B3382">
        <w:tc>
          <w:tcPr>
            <w:tcW w:w="2448" w:type="dxa"/>
          </w:tcPr>
          <w:p w:rsidR="00E75DA9" w:rsidRPr="00B82488" w:rsidRDefault="00E75DA9" w:rsidP="004B3382">
            <w:pPr>
              <w:pStyle w:val="Normal1"/>
              <w:rPr>
                <w:rFonts w:asciiTheme="minorHAnsi" w:hAnsiTheme="minorHAnsi"/>
                <w:szCs w:val="22"/>
              </w:rPr>
            </w:pPr>
            <w:r w:rsidRPr="00B82488">
              <w:rPr>
                <w:rFonts w:asciiTheme="minorHAnsi" w:hAnsiTheme="minorHAnsi"/>
                <w:szCs w:val="22"/>
              </w:rPr>
              <w:t>Master Person Index (MPI) or other identity broker</w:t>
            </w:r>
          </w:p>
        </w:tc>
        <w:tc>
          <w:tcPr>
            <w:tcW w:w="3150" w:type="dxa"/>
          </w:tcPr>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Maintain a list of patients and identifiers for a set of persons</w:t>
            </w:r>
          </w:p>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 xml:space="preserve">Supply identifiers for use by other systems </w:t>
            </w:r>
          </w:p>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Serve as a central demographic supplier for participating systems</w:t>
            </w:r>
          </w:p>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Provide cross-reference for identifiers for participating systems</w:t>
            </w:r>
          </w:p>
        </w:tc>
        <w:tc>
          <w:tcPr>
            <w:tcW w:w="3240" w:type="dxa"/>
          </w:tcPr>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Send identifier for an individual for use in a record request or record update</w:t>
            </w:r>
          </w:p>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Receive request for person identifier</w:t>
            </w:r>
          </w:p>
          <w:p w:rsidR="00E75DA9" w:rsidRPr="00B82488" w:rsidRDefault="00E75DA9" w:rsidP="0052337A">
            <w:pPr>
              <w:pStyle w:val="Normal1"/>
              <w:numPr>
                <w:ilvl w:val="0"/>
                <w:numId w:val="21"/>
              </w:numPr>
              <w:spacing w:before="60" w:after="60"/>
              <w:ind w:left="366"/>
              <w:rPr>
                <w:rFonts w:asciiTheme="minorHAnsi" w:hAnsiTheme="minorHAnsi"/>
                <w:szCs w:val="22"/>
              </w:rPr>
            </w:pPr>
            <w:r w:rsidRPr="00B82488">
              <w:rPr>
                <w:rFonts w:asciiTheme="minorHAnsi" w:hAnsiTheme="minorHAnsi"/>
                <w:szCs w:val="22"/>
              </w:rPr>
              <w:t>Return complete demographic data for an individual from central demographic store</w:t>
            </w:r>
          </w:p>
        </w:tc>
      </w:tr>
      <w:tr w:rsidR="00E75DA9" w:rsidRPr="00B82488" w:rsidTr="004B3382">
        <w:tc>
          <w:tcPr>
            <w:tcW w:w="2448" w:type="dxa"/>
          </w:tcPr>
          <w:p w:rsidR="00E75DA9" w:rsidRPr="00B82488" w:rsidRDefault="00E75DA9" w:rsidP="004B3382">
            <w:pPr>
              <w:pStyle w:val="Normal1"/>
              <w:rPr>
                <w:rFonts w:asciiTheme="minorHAnsi" w:hAnsiTheme="minorHAnsi"/>
                <w:szCs w:val="22"/>
              </w:rPr>
            </w:pPr>
            <w:r w:rsidRPr="00B82488">
              <w:rPr>
                <w:rFonts w:asciiTheme="minorHAnsi" w:hAnsiTheme="minorHAnsi"/>
                <w:szCs w:val="22"/>
              </w:rPr>
              <w:t xml:space="preserve">Health Information Exchange (HIE) </w:t>
            </w:r>
          </w:p>
        </w:tc>
        <w:tc>
          <w:tcPr>
            <w:tcW w:w="3150" w:type="dxa"/>
          </w:tcPr>
          <w:p w:rsidR="00E75DA9" w:rsidRPr="00B82488" w:rsidRDefault="00E75DA9" w:rsidP="004B3382">
            <w:pPr>
              <w:pStyle w:val="Normal1"/>
              <w:spacing w:before="60" w:after="60"/>
              <w:rPr>
                <w:rFonts w:asciiTheme="minorHAnsi" w:hAnsiTheme="minorHAnsi"/>
                <w:szCs w:val="22"/>
              </w:rPr>
            </w:pPr>
            <w:r w:rsidRPr="00B82488">
              <w:rPr>
                <w:rFonts w:asciiTheme="minorHAnsi" w:hAnsiTheme="minorHAnsi"/>
                <w:szCs w:val="22"/>
              </w:rPr>
              <w:t>Link information systems</w:t>
            </w:r>
          </w:p>
        </w:tc>
        <w:tc>
          <w:tcPr>
            <w:tcW w:w="3240" w:type="dxa"/>
          </w:tcPr>
          <w:p w:rsidR="00E75DA9" w:rsidRPr="00B82488" w:rsidRDefault="00E75DA9" w:rsidP="004B3382">
            <w:pPr>
              <w:pStyle w:val="Normal1"/>
              <w:spacing w:before="60" w:after="60"/>
              <w:rPr>
                <w:rFonts w:asciiTheme="minorHAnsi" w:hAnsiTheme="minorHAnsi"/>
                <w:szCs w:val="22"/>
              </w:rPr>
            </w:pPr>
            <w:r w:rsidRPr="00B82488">
              <w:rPr>
                <w:rFonts w:asciiTheme="minorHAnsi" w:hAnsiTheme="minorHAnsi"/>
                <w:szCs w:val="22"/>
              </w:rPr>
              <w:t>Serve as secure message intermediary among information systems in disparate organizations</w:t>
            </w:r>
          </w:p>
        </w:tc>
      </w:tr>
    </w:tbl>
    <w:p w:rsidR="00B82488" w:rsidRPr="00B82488" w:rsidRDefault="00B82488" w:rsidP="00B82488">
      <w:pPr>
        <w:pStyle w:val="Normal1"/>
        <w:spacing w:before="120"/>
        <w:rPr>
          <w:rFonts w:asciiTheme="minorHAnsi" w:hAnsiTheme="minorHAnsi"/>
          <w:szCs w:val="22"/>
        </w:rPr>
      </w:pPr>
      <w:r w:rsidRPr="00B82488">
        <w:rPr>
          <w:rFonts w:asciiTheme="minorHAnsi" w:hAnsiTheme="minorHAnsi"/>
          <w:szCs w:val="22"/>
        </w:rPr>
        <w:t xml:space="preserve">* This example represents a “push” scenario of traditional electronic public health case reporting. See </w:t>
      </w:r>
      <w:r w:rsidRPr="00B82488">
        <w:rPr>
          <w:rFonts w:asciiTheme="minorHAnsi" w:hAnsiTheme="minorHAnsi"/>
          <w:color w:val="1155CC"/>
          <w:szCs w:val="22"/>
          <w:u w:val="single"/>
        </w:rPr>
        <w:t>Alternative Models for Accessing Data for Surveillance</w:t>
      </w:r>
      <w:r w:rsidRPr="00B82488">
        <w:rPr>
          <w:rFonts w:asciiTheme="minorHAnsi" w:hAnsiTheme="minorHAnsi"/>
          <w:color w:val="1155CC"/>
          <w:szCs w:val="22"/>
        </w:rPr>
        <w:t xml:space="preserve"> </w:t>
      </w:r>
      <w:r w:rsidRPr="00B82488">
        <w:rPr>
          <w:rFonts w:asciiTheme="minorHAnsi" w:hAnsiTheme="minorHAnsi"/>
          <w:szCs w:val="22"/>
        </w:rPr>
        <w:t xml:space="preserve">in the Actors and Goals Introduction section for other approaches to EHR-based surveillance activities. </w:t>
      </w:r>
    </w:p>
    <w:p w:rsidR="00B82488" w:rsidRPr="00B82488" w:rsidRDefault="00B82488" w:rsidP="00B82488">
      <w:pPr>
        <w:pStyle w:val="Normal1"/>
        <w:contextualSpacing/>
        <w:rPr>
          <w:rFonts w:asciiTheme="minorHAnsi" w:hAnsiTheme="minorHAnsi"/>
          <w:szCs w:val="22"/>
        </w:rPr>
      </w:pPr>
    </w:p>
    <w:p w:rsidR="00B82488" w:rsidRPr="00B82488" w:rsidRDefault="00B82488" w:rsidP="00B82488">
      <w:pPr>
        <w:pStyle w:val="Normal1"/>
        <w:contextualSpacing/>
        <w:rPr>
          <w:rFonts w:asciiTheme="minorHAnsi" w:hAnsiTheme="minorHAnsi"/>
          <w:szCs w:val="22"/>
        </w:rPr>
      </w:pPr>
    </w:p>
    <w:p w:rsidR="00CB7F7F" w:rsidRPr="00B82488" w:rsidRDefault="00CB7F7F" w:rsidP="00B82488">
      <w:pPr>
        <w:rPr>
          <w:szCs w:val="22"/>
        </w:rPr>
      </w:pPr>
    </w:p>
    <w:sectPr w:rsidR="00CB7F7F" w:rsidRPr="00B82488"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84" w:rsidRDefault="00E41784" w:rsidP="003A1012">
      <w:pPr>
        <w:spacing w:after="0" w:line="240" w:lineRule="auto"/>
      </w:pPr>
      <w:r>
        <w:separator/>
      </w:r>
    </w:p>
  </w:endnote>
  <w:endnote w:type="continuationSeparator" w:id="0">
    <w:p w:rsidR="00E41784" w:rsidRDefault="00E41784"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07ECCCF4" wp14:editId="227F5135">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095B2A4F" wp14:editId="0972DA31">
          <wp:simplePos x="0" y="0"/>
          <wp:positionH relativeFrom="page">
            <wp:posOffset>1374178</wp:posOffset>
          </wp:positionH>
          <wp:positionV relativeFrom="page">
            <wp:posOffset>9381490</wp:posOffset>
          </wp:positionV>
          <wp:extent cx="1252728" cy="310896"/>
          <wp:effectExtent l="0" t="0" r="50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62933D7" wp14:editId="45B66EC3">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8A4BD5">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8A4BD5">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02C3F667" wp14:editId="32D06C70">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3BD82E7C" wp14:editId="6F7C2482">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08918AC9" wp14:editId="528608BA">
          <wp:simplePos x="0" y="0"/>
          <wp:positionH relativeFrom="page">
            <wp:posOffset>1828800</wp:posOffset>
          </wp:positionH>
          <wp:positionV relativeFrom="page">
            <wp:posOffset>9381490</wp:posOffset>
          </wp:positionV>
          <wp:extent cx="1252728" cy="310896"/>
          <wp:effectExtent l="0" t="0" r="508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7B099AE3" wp14:editId="3A87F612">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0CF7D0E8" wp14:editId="1A1608E2">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84" w:rsidRDefault="00E41784" w:rsidP="003A1012">
      <w:pPr>
        <w:spacing w:after="0" w:line="240" w:lineRule="auto"/>
      </w:pPr>
      <w:r>
        <w:separator/>
      </w:r>
    </w:p>
  </w:footnote>
  <w:footnote w:type="continuationSeparator" w:id="0">
    <w:p w:rsidR="00E41784" w:rsidRDefault="00E41784"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699FA349" wp14:editId="2C4804CF">
              <wp:simplePos x="0" y="0"/>
              <wp:positionH relativeFrom="page">
                <wp:posOffset>2018581</wp:posOffset>
              </wp:positionH>
              <wp:positionV relativeFrom="page">
                <wp:posOffset>767751</wp:posOffset>
              </wp:positionV>
              <wp:extent cx="4701396" cy="250166"/>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396" cy="250166"/>
                      </a:xfrm>
                      <a:prstGeom prst="rect">
                        <a:avLst/>
                      </a:prstGeom>
                      <a:solidFill>
                        <a:srgbClr val="FFFFFF"/>
                      </a:solidFill>
                      <a:ln w="9525">
                        <a:noFill/>
                        <a:miter lim="800000"/>
                        <a:headEnd/>
                        <a:tailEnd/>
                      </a:ln>
                    </wps:spPr>
                    <wps:txbx>
                      <w:txbxContent>
                        <w:p w:rsidR="00CB7F7F" w:rsidRPr="00CB7F7F" w:rsidRDefault="00B82488" w:rsidP="00CB7F7F">
                          <w:pPr>
                            <w:pStyle w:val="Subtitle"/>
                            <w:rPr>
                              <w:sz w:val="28"/>
                              <w:szCs w:val="28"/>
                            </w:rPr>
                          </w:pPr>
                          <w:r>
                            <w:rPr>
                              <w:sz w:val="28"/>
                              <w:szCs w:val="28"/>
                            </w:rPr>
                            <w:t>Identifying Primary Actors and Goals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370.2pt;height:19.7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1iFwIAAAsEAAAOAAAAZHJzL2Uyb0RvYy54bWysU9uO0zAQfUfiHyy/06SBlt2o6WrpUoS0&#10;XKRdPmDiOI2F7Qm226R8PWOn7S7whvCDNbZnzsycOV7djEazg3Reoa34fJZzJq3ARtldxb89bl9d&#10;ceYD2AY0Wlnxo/T8Zv3yxWroS1lgh7qRjhGI9eXQV7wLoS+zzItOGvAz7KWlxxadgUBHt8saBwOh&#10;G50Veb7MBnRN71BI7+n2bnrk64TftlKEL23rZWC64lRbSLtLex33bL2Ccueg75Q4lQH/UIUBZSnp&#10;BeoOArC9U39BGSUcemzDTKDJsG2VkKkH6mae/9HNQwe9TL0QOb6/0OT/H6z4fPjqmGoqXnBmwdCI&#10;HuUY2DscWRHZGXpfktNDT25hpGuacurU9/covntmcdOB3clb53DoJDRU3TxGZs9CJxwfQerhEzaU&#10;BvYBE9DYOhOpIzIYodOUjpfJxFIEXb55m89fXy85E/RWLPL5cplSQHmO7p0PHyQaFo2KO5p8QofD&#10;vQ+xGijPLjGZR62ardI6Hdyu3mjHDkAq2aZ1Qv/NTVs2VPx6USwSssUYnwRkVCAVa2UqfpXHFcOh&#10;jGy8t02yAyg92VSJtid6IiMTN2GsR3KMnNXYHIkoh5Na6XeR0aH7ydlASq24/7EHJznTHy2RHWV9&#10;NtzZqM8GWEGhFa85m8xNSPKP9Vm8pSG0KvHzlPlUGyku0Xb6HVHSz8/J6+kPr38BAAD//wMAUEsD&#10;BBQABgAIAAAAIQBGS3W44AAAAAwBAAAPAAAAZHJzL2Rvd25yZXYueG1sTI/BTsMwEETvSPyDtUjc&#10;WruNUkqIU0GlcmpVUfiAbbxNArEdYqcNf8/2BLdZzdPsTL4abSvO1IfGOw2zqQJBrvSmcZWGj/fN&#10;ZAkiRHQGW+9Iww8FWBW3Nzlmxl/cG50PsRIc4kKGGuoYu0zKUNZkMUx9R469k+8tRj77SpoeLxxu&#10;WzlXaiEtNo4/1NjRuqby6zBYDdvPdB/25eb0nfrXF0yG9W7cNlrf343PTyAijfEPhmt9rg4Fdzr6&#10;wZkgWg3J7OGRUTbmisWVUOkyAXFktVAJyCKX/0cUvwAAAP//AwBQSwECLQAUAAYACAAAACEAtoM4&#10;kv4AAADhAQAAEwAAAAAAAAAAAAAAAAAAAAAAW0NvbnRlbnRfVHlwZXNdLnhtbFBLAQItABQABgAI&#10;AAAAIQA4/SH/1gAAAJQBAAALAAAAAAAAAAAAAAAAAC8BAABfcmVscy8ucmVsc1BLAQItABQABgAI&#10;AAAAIQAf3p1iFwIAAAsEAAAOAAAAAAAAAAAAAAAAAC4CAABkcnMvZTJvRG9jLnhtbFBLAQItABQA&#10;BgAIAAAAIQBGS3W44AAAAAwBAAAPAAAAAAAAAAAAAAAAAHEEAABkcnMvZG93bnJldi54bWxQSwUG&#10;AAAAAAQABADzAAAAfgUAAAAA&#10;" stroked="f">
              <v:textbox inset="0,0,0,0">
                <w:txbxContent>
                  <w:p w:rsidR="00CB7F7F" w:rsidRPr="00CB7F7F" w:rsidRDefault="00B82488" w:rsidP="00CB7F7F">
                    <w:pPr>
                      <w:pStyle w:val="Subtitle"/>
                      <w:rPr>
                        <w:sz w:val="28"/>
                        <w:szCs w:val="28"/>
                      </w:rPr>
                    </w:pPr>
                    <w:r>
                      <w:rPr>
                        <w:sz w:val="28"/>
                        <w:szCs w:val="28"/>
                      </w:rPr>
                      <w:t>Identifying Primary Actors and Goals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61ED3225" wp14:editId="63A99114">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557B6F" w:rsidP="00140B28">
                          <w:pPr>
                            <w:pStyle w:val="Title"/>
                            <w:rPr>
                              <w:sz w:val="36"/>
                              <w:szCs w:val="36"/>
                            </w:rPr>
                          </w:pPr>
                          <w:r>
                            <w:rPr>
                              <w:sz w:val="32"/>
                              <w:szCs w:val="32"/>
                            </w:rPr>
                            <w:t>3. Forming Partnerships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557B6F" w:rsidP="00140B28">
                    <w:pPr>
                      <w:pStyle w:val="Title"/>
                      <w:rPr>
                        <w:sz w:val="36"/>
                        <w:szCs w:val="36"/>
                      </w:rPr>
                    </w:pPr>
                    <w:r>
                      <w:rPr>
                        <w:sz w:val="32"/>
                        <w:szCs w:val="32"/>
                      </w:rPr>
                      <w:t>3. Forming Partnerships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7B2F8BB9" wp14:editId="6A1021C7">
          <wp:simplePos x="0" y="0"/>
          <wp:positionH relativeFrom="page">
            <wp:posOffset>457200</wp:posOffset>
          </wp:positionH>
          <wp:positionV relativeFrom="page">
            <wp:posOffset>457200</wp:posOffset>
          </wp:positionV>
          <wp:extent cx="1252728" cy="503124"/>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00DCE62D" wp14:editId="3576FC87">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30C29904" wp14:editId="347508D1">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08E01604" wp14:editId="17B953FF">
          <wp:simplePos x="0" y="0"/>
          <wp:positionH relativeFrom="page">
            <wp:posOffset>457200</wp:posOffset>
          </wp:positionH>
          <wp:positionV relativeFrom="page">
            <wp:posOffset>457200</wp:posOffset>
          </wp:positionV>
          <wp:extent cx="2935224" cy="10972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061E30"/>
    <w:multiLevelType w:val="multilevel"/>
    <w:tmpl w:val="8EBC5076"/>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6244E1"/>
    <w:multiLevelType w:val="multilevel"/>
    <w:tmpl w:val="720C93B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18A0D0E"/>
    <w:multiLevelType w:val="hybridMultilevel"/>
    <w:tmpl w:val="1B8E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0CD7"/>
    <w:multiLevelType w:val="multilevel"/>
    <w:tmpl w:val="6C94FB1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34A67FC0"/>
    <w:multiLevelType w:val="multilevel"/>
    <w:tmpl w:val="5AFAA680"/>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4647BB1"/>
    <w:multiLevelType w:val="hybridMultilevel"/>
    <w:tmpl w:val="17E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B15A5"/>
    <w:multiLevelType w:val="multilevel"/>
    <w:tmpl w:val="FF54D9F2"/>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2">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8207DC"/>
    <w:multiLevelType w:val="hybridMultilevel"/>
    <w:tmpl w:val="089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323994"/>
    <w:multiLevelType w:val="multilevel"/>
    <w:tmpl w:val="39DC0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6F4572"/>
    <w:multiLevelType w:val="multilevel"/>
    <w:tmpl w:val="E4E02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5E64681"/>
    <w:multiLevelType w:val="hybridMultilevel"/>
    <w:tmpl w:val="16BA4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7"/>
  </w:num>
  <w:num w:numId="10">
    <w:abstractNumId w:val="16"/>
  </w:num>
  <w:num w:numId="11">
    <w:abstractNumId w:val="1"/>
  </w:num>
  <w:num w:numId="12">
    <w:abstractNumId w:val="11"/>
  </w:num>
  <w:num w:numId="13">
    <w:abstractNumId w:val="0"/>
  </w:num>
  <w:num w:numId="14">
    <w:abstractNumId w:val="2"/>
  </w:num>
  <w:num w:numId="15">
    <w:abstractNumId w:val="8"/>
  </w:num>
  <w:num w:numId="16">
    <w:abstractNumId w:val="3"/>
  </w:num>
  <w:num w:numId="17">
    <w:abstractNumId w:val="17"/>
  </w:num>
  <w:num w:numId="18">
    <w:abstractNumId w:val="10"/>
  </w:num>
  <w:num w:numId="19">
    <w:abstractNumId w:val="5"/>
  </w:num>
  <w:num w:numId="20">
    <w:abstractNumId w:val="15"/>
  </w:num>
  <w:num w:numId="21">
    <w:abstractNumId w:val="18"/>
  </w:num>
  <w:num w:numId="22">
    <w:abstractNumId w:val="4"/>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067EE"/>
    <w:rsid w:val="000F1986"/>
    <w:rsid w:val="001133F6"/>
    <w:rsid w:val="00114E7C"/>
    <w:rsid w:val="001227EE"/>
    <w:rsid w:val="00140B28"/>
    <w:rsid w:val="0014281C"/>
    <w:rsid w:val="001739FD"/>
    <w:rsid w:val="00181CAF"/>
    <w:rsid w:val="001D44E7"/>
    <w:rsid w:val="002413EF"/>
    <w:rsid w:val="002929FA"/>
    <w:rsid w:val="003A1012"/>
    <w:rsid w:val="004877B9"/>
    <w:rsid w:val="004F4745"/>
    <w:rsid w:val="005063B1"/>
    <w:rsid w:val="0052337A"/>
    <w:rsid w:val="00557B6F"/>
    <w:rsid w:val="00575294"/>
    <w:rsid w:val="005A2801"/>
    <w:rsid w:val="005F35DA"/>
    <w:rsid w:val="00652199"/>
    <w:rsid w:val="006577FE"/>
    <w:rsid w:val="006D756C"/>
    <w:rsid w:val="007066D8"/>
    <w:rsid w:val="0071241B"/>
    <w:rsid w:val="00746CEB"/>
    <w:rsid w:val="007A4409"/>
    <w:rsid w:val="0081028D"/>
    <w:rsid w:val="00847E17"/>
    <w:rsid w:val="008A4BD5"/>
    <w:rsid w:val="008C4D00"/>
    <w:rsid w:val="00920B33"/>
    <w:rsid w:val="00A0318C"/>
    <w:rsid w:val="00A04966"/>
    <w:rsid w:val="00A07369"/>
    <w:rsid w:val="00A84025"/>
    <w:rsid w:val="00A94D80"/>
    <w:rsid w:val="00AA341B"/>
    <w:rsid w:val="00B05731"/>
    <w:rsid w:val="00B154F6"/>
    <w:rsid w:val="00B43F3F"/>
    <w:rsid w:val="00B62DF6"/>
    <w:rsid w:val="00B82488"/>
    <w:rsid w:val="00BC421B"/>
    <w:rsid w:val="00BE4151"/>
    <w:rsid w:val="00BE6F54"/>
    <w:rsid w:val="00C1700A"/>
    <w:rsid w:val="00CB7F7F"/>
    <w:rsid w:val="00D15DDF"/>
    <w:rsid w:val="00D36E29"/>
    <w:rsid w:val="00D64935"/>
    <w:rsid w:val="00DD1F2F"/>
    <w:rsid w:val="00E41784"/>
    <w:rsid w:val="00E41D41"/>
    <w:rsid w:val="00E75DA9"/>
    <w:rsid w:val="00E7782C"/>
    <w:rsid w:val="00EC473C"/>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4FA1-1560-4C82-85D9-7EA7BE4F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8</cp:revision>
  <cp:lastPrinted>2015-09-22T18:34:00Z</cp:lastPrinted>
  <dcterms:created xsi:type="dcterms:W3CDTF">2015-07-15T18:19:00Z</dcterms:created>
  <dcterms:modified xsi:type="dcterms:W3CDTF">2015-09-22T18:34:00Z</dcterms:modified>
</cp:coreProperties>
</file>