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BF" w:rsidRPr="007C08BF" w:rsidRDefault="007C08BF" w:rsidP="007C08BF">
      <w:pPr>
        <w:spacing w:after="60"/>
        <w:rPr>
          <w:rFonts w:eastAsia="Times New Roman" w:cs="Times New Roman"/>
          <w:szCs w:val="22"/>
        </w:rPr>
      </w:pPr>
      <w:r>
        <w:rPr>
          <w:szCs w:val="22"/>
        </w:rPr>
        <w:br/>
      </w:r>
      <w:r w:rsidRPr="007C08BF">
        <w:rPr>
          <w:szCs w:val="22"/>
        </w:rPr>
        <w:t>The following information is summarized from and based on “</w:t>
      </w:r>
      <w:r w:rsidRPr="007C08BF">
        <w:rPr>
          <w:rFonts w:eastAsia="Times New Roman" w:cs="Times New Roman"/>
          <w:szCs w:val="22"/>
        </w:rPr>
        <w:t>Data Governance and Data Sharing Agreements for Community-Wide Health Information Exchange: Lessons from the Beacon Communities".</w:t>
      </w:r>
      <w:r w:rsidRPr="007C08BF">
        <w:rPr>
          <w:rStyle w:val="FootnoteReference"/>
          <w:rFonts w:eastAsia="Times New Roman" w:cs="Times New Roman"/>
          <w:szCs w:val="22"/>
        </w:rPr>
        <w:footnoteReference w:id="1"/>
      </w:r>
      <w:r w:rsidRPr="007C08BF">
        <w:rPr>
          <w:rFonts w:eastAsia="Times New Roman" w:cs="Times New Roman"/>
          <w:szCs w:val="22"/>
        </w:rPr>
        <w:t xml:space="preserve"> The article provides guidance based on the experiences of six federally funded communities that made their way through the data governance issues and creation of data sharing agreements necessary for creating a health information exchange in their communities. </w:t>
      </w:r>
      <w:r>
        <w:rPr>
          <w:rFonts w:eastAsia="Times New Roman" w:cs="Times New Roman"/>
          <w:szCs w:val="22"/>
        </w:rPr>
        <w:br/>
      </w:r>
      <w:r>
        <w:rPr>
          <w:rFonts w:eastAsia="Times New Roman" w:cs="Times New Roman"/>
          <w:szCs w:val="22"/>
        </w:rPr>
        <w:br/>
      </w:r>
      <w:r w:rsidRPr="007C08BF">
        <w:rPr>
          <w:rFonts w:eastAsia="Times New Roman" w:cs="Times New Roman"/>
          <w:szCs w:val="22"/>
        </w:rPr>
        <w:t>The increase in initiatives focused on community health information exchange highlights the importance and complexity of data governance in such exchanges. The term data governance in such cases encompasses how decisions are made about who shares data with whom, under what rules and for what purposes. Governance structures and policies can be codified in various ways</w:t>
      </w:r>
      <w:r w:rsidR="008850BF">
        <w:rPr>
          <w:rFonts w:eastAsia="Times New Roman" w:cs="Times New Roman"/>
          <w:szCs w:val="22"/>
        </w:rPr>
        <w:t xml:space="preserve">: </w:t>
      </w:r>
      <w:r w:rsidRPr="007C08BF">
        <w:rPr>
          <w:rFonts w:eastAsia="Times New Roman" w:cs="Times New Roman"/>
          <w:szCs w:val="22"/>
        </w:rPr>
        <w:t xml:space="preserve">through project charters, memorandums of understanding, and contracts. With data sharing, they will almost certainly be codified in data sharing agreements (DSAs) that may take the form of Data Use Agreements (DUA), Business Associate Agreements (BAA), or Participation Agreements (PA). </w:t>
      </w:r>
      <w:r>
        <w:rPr>
          <w:rFonts w:eastAsia="Times New Roman" w:cs="Times New Roman"/>
          <w:szCs w:val="22"/>
        </w:rPr>
        <w:br/>
      </w:r>
    </w:p>
    <w:p w:rsidR="007C08BF" w:rsidRDefault="007C08BF" w:rsidP="007C08BF">
      <w:pPr>
        <w:rPr>
          <w:rFonts w:eastAsia="Times New Roman" w:cs="Times New Roman"/>
          <w:szCs w:val="22"/>
        </w:rPr>
      </w:pPr>
      <w:r w:rsidRPr="007C08BF">
        <w:rPr>
          <w:rFonts w:eastAsia="Times New Roman" w:cs="Times New Roman"/>
          <w:szCs w:val="22"/>
        </w:rPr>
        <w:t>These agreements typically authorize specific entities to access data, define the entities’ roles and responsibilities, and specify what, when, how, and under what circumstances data can be shared. DSAs may also enumerate acceptable data uses and prohibitions, address issues of liability and patient consent, specify safeguards for data privacy and security, and establish policies for handling breach notification, grievances, and sensitive data.</w:t>
      </w:r>
      <w:r>
        <w:rPr>
          <w:rFonts w:eastAsia="Times New Roman" w:cs="Times New Roman"/>
          <w:szCs w:val="22"/>
        </w:rPr>
        <w:br/>
      </w:r>
      <w:r>
        <w:rPr>
          <w:rFonts w:eastAsia="Times New Roman" w:cs="Times New Roman"/>
          <w:szCs w:val="22"/>
        </w:rPr>
        <w:br/>
      </w:r>
      <w:r w:rsidRPr="007C08BF">
        <w:rPr>
          <w:rFonts w:eastAsia="Times New Roman" w:cs="Times New Roman"/>
          <w:szCs w:val="22"/>
        </w:rPr>
        <w:t xml:space="preserve">The most relevant federal law regarding the sharing and use of health information is the HIPAA Privacy and Security Rules. However, state laws also establish requirements for privacy protections, allowable uses for governmental agencies, consent requirements, and many other provisions. </w:t>
      </w:r>
      <w:r w:rsidR="008850BF">
        <w:rPr>
          <w:rFonts w:eastAsia="Times New Roman" w:cs="Times New Roman"/>
          <w:szCs w:val="22"/>
        </w:rPr>
        <w:br/>
      </w:r>
      <w:r>
        <w:rPr>
          <w:rFonts w:eastAsia="Times New Roman" w:cs="Times New Roman"/>
          <w:szCs w:val="22"/>
        </w:rPr>
        <w:br/>
      </w:r>
      <w:r w:rsidRPr="007C08BF">
        <w:rPr>
          <w:rFonts w:eastAsia="Times New Roman" w:cs="Times New Roman"/>
          <w:szCs w:val="22"/>
        </w:rPr>
        <w:t xml:space="preserve">The following table, taken almost verbatim from the above-referenced article, describes three types of data sharing agreements from the perspective of HIPAA. Although your agency may or may not be a </w:t>
      </w:r>
      <w:r w:rsidR="008850BF">
        <w:rPr>
          <w:rFonts w:eastAsia="Times New Roman" w:cs="Times New Roman"/>
          <w:szCs w:val="22"/>
        </w:rPr>
        <w:t>c</w:t>
      </w:r>
      <w:r w:rsidRPr="007C08BF">
        <w:rPr>
          <w:rFonts w:eastAsia="Times New Roman" w:cs="Times New Roman"/>
          <w:szCs w:val="22"/>
        </w:rPr>
        <w:t xml:space="preserve">overed </w:t>
      </w:r>
      <w:r w:rsidR="008850BF">
        <w:rPr>
          <w:rFonts w:eastAsia="Times New Roman" w:cs="Times New Roman"/>
          <w:szCs w:val="22"/>
        </w:rPr>
        <w:t>e</w:t>
      </w:r>
      <w:r w:rsidRPr="007C08BF">
        <w:rPr>
          <w:rFonts w:eastAsia="Times New Roman" w:cs="Times New Roman"/>
          <w:szCs w:val="22"/>
        </w:rPr>
        <w:t xml:space="preserve">ntity under HIPAA regulations, your clinical partners will almost certainly have the status of </w:t>
      </w:r>
      <w:r w:rsidR="008850BF">
        <w:rPr>
          <w:rFonts w:eastAsia="Times New Roman" w:cs="Times New Roman"/>
          <w:szCs w:val="22"/>
        </w:rPr>
        <w:t>c</w:t>
      </w:r>
      <w:r w:rsidRPr="007C08BF">
        <w:rPr>
          <w:rFonts w:eastAsia="Times New Roman" w:cs="Times New Roman"/>
          <w:szCs w:val="22"/>
        </w:rPr>
        <w:t xml:space="preserve">overed </w:t>
      </w:r>
      <w:r w:rsidR="008850BF">
        <w:rPr>
          <w:rFonts w:eastAsia="Times New Roman" w:cs="Times New Roman"/>
          <w:szCs w:val="22"/>
        </w:rPr>
        <w:t>e</w:t>
      </w:r>
      <w:r w:rsidRPr="007C08BF">
        <w:rPr>
          <w:rFonts w:eastAsia="Times New Roman" w:cs="Times New Roman"/>
          <w:szCs w:val="22"/>
        </w:rPr>
        <w:t xml:space="preserve">ntity. Check with your attorneys to determine your agency’s status if you are unsure. </w:t>
      </w:r>
    </w:p>
    <w:p w:rsidR="007C08BF" w:rsidRDefault="007C08BF" w:rsidP="007C08BF">
      <w:pPr>
        <w:rPr>
          <w:rFonts w:eastAsia="Times New Roman" w:cs="Times New Roman"/>
          <w:szCs w:val="22"/>
        </w:rPr>
      </w:pPr>
    </w:p>
    <w:p w:rsidR="007C08BF" w:rsidRDefault="007C08BF" w:rsidP="007C08BF">
      <w:pPr>
        <w:rPr>
          <w:rFonts w:eastAsia="Times New Roman" w:cs="Times New Roman"/>
          <w:szCs w:val="22"/>
        </w:rPr>
      </w:pPr>
    </w:p>
    <w:p w:rsidR="007C08BF" w:rsidRDefault="007C08BF" w:rsidP="007C08BF">
      <w:pPr>
        <w:rPr>
          <w:rFonts w:eastAsia="Times New Roman" w:cs="Times New Roman"/>
          <w:szCs w:val="22"/>
        </w:rPr>
      </w:pPr>
    </w:p>
    <w:p w:rsidR="007C08BF" w:rsidRDefault="007C08BF" w:rsidP="007C08BF">
      <w:pPr>
        <w:rPr>
          <w:rFonts w:eastAsia="Times New Roman" w:cs="Times New Roman"/>
          <w:szCs w:val="22"/>
        </w:rPr>
      </w:pPr>
    </w:p>
    <w:p w:rsidR="008850BF" w:rsidRDefault="008850BF" w:rsidP="007C08BF">
      <w:pPr>
        <w:rPr>
          <w:rFonts w:eastAsia="Times New Roman" w:cs="Times New Roman"/>
          <w:szCs w:val="22"/>
        </w:rPr>
      </w:pPr>
    </w:p>
    <w:p w:rsidR="007C08BF" w:rsidRPr="007C08BF" w:rsidRDefault="007C08BF" w:rsidP="007C08BF">
      <w:pPr>
        <w:rPr>
          <w:rFonts w:eastAsia="Times New Roman" w:cs="Times New Roman"/>
          <w:szCs w:val="22"/>
        </w:rPr>
      </w:pPr>
    </w:p>
    <w:tbl>
      <w:tblPr>
        <w:tblStyle w:val="TableGrid"/>
        <w:tblW w:w="9018" w:type="dxa"/>
        <w:tblLayout w:type="fixed"/>
        <w:tblLook w:val="04A0" w:firstRow="1" w:lastRow="0" w:firstColumn="1" w:lastColumn="0" w:noHBand="0" w:noVBand="1"/>
      </w:tblPr>
      <w:tblGrid>
        <w:gridCol w:w="1439"/>
        <w:gridCol w:w="3349"/>
        <w:gridCol w:w="4230"/>
      </w:tblGrid>
      <w:tr w:rsidR="007C08BF" w:rsidTr="007C08BF">
        <w:tc>
          <w:tcPr>
            <w:tcW w:w="1439" w:type="dxa"/>
            <w:shd w:val="clear" w:color="auto" w:fill="92D050"/>
          </w:tcPr>
          <w:p w:rsidR="007C08BF" w:rsidRPr="007C08BF" w:rsidRDefault="007C08BF" w:rsidP="00014CC8">
            <w:pPr>
              <w:spacing w:before="60" w:after="60"/>
              <w:jc w:val="center"/>
              <w:rPr>
                <w:rFonts w:eastAsia="Times New Roman" w:cs="Times New Roman"/>
                <w:b/>
                <w:sz w:val="22"/>
                <w:szCs w:val="22"/>
              </w:rPr>
            </w:pPr>
            <w:r w:rsidRPr="007C08BF">
              <w:rPr>
                <w:rFonts w:eastAsia="Times New Roman" w:cs="Times New Roman"/>
                <w:b/>
                <w:sz w:val="22"/>
                <w:szCs w:val="22"/>
              </w:rPr>
              <w:lastRenderedPageBreak/>
              <w:t>Type of Agreement</w:t>
            </w:r>
          </w:p>
        </w:tc>
        <w:tc>
          <w:tcPr>
            <w:tcW w:w="3349" w:type="dxa"/>
            <w:shd w:val="clear" w:color="auto" w:fill="92D050"/>
            <w:vAlign w:val="center"/>
          </w:tcPr>
          <w:p w:rsidR="007C08BF" w:rsidRPr="007C08BF" w:rsidRDefault="007C08BF" w:rsidP="00014CC8">
            <w:pPr>
              <w:spacing w:before="60" w:after="60"/>
              <w:jc w:val="center"/>
              <w:rPr>
                <w:rFonts w:eastAsia="Times New Roman" w:cs="Times New Roman"/>
                <w:b/>
                <w:sz w:val="22"/>
                <w:szCs w:val="22"/>
              </w:rPr>
            </w:pPr>
            <w:r w:rsidRPr="007C08BF">
              <w:rPr>
                <w:rFonts w:eastAsia="Times New Roman" w:cs="Times New Roman"/>
                <w:b/>
                <w:sz w:val="22"/>
                <w:szCs w:val="22"/>
              </w:rPr>
              <w:t>Definition</w:t>
            </w:r>
          </w:p>
        </w:tc>
        <w:tc>
          <w:tcPr>
            <w:tcW w:w="4230" w:type="dxa"/>
            <w:shd w:val="clear" w:color="auto" w:fill="92D050"/>
            <w:vAlign w:val="center"/>
          </w:tcPr>
          <w:p w:rsidR="007C08BF" w:rsidRPr="007C08BF" w:rsidRDefault="007C08BF" w:rsidP="00014CC8">
            <w:pPr>
              <w:spacing w:before="60" w:after="60"/>
              <w:jc w:val="center"/>
              <w:rPr>
                <w:rFonts w:eastAsia="Times New Roman" w:cs="Times New Roman"/>
                <w:b/>
                <w:sz w:val="22"/>
                <w:szCs w:val="22"/>
              </w:rPr>
            </w:pPr>
            <w:r w:rsidRPr="007C08BF">
              <w:rPr>
                <w:rFonts w:eastAsia="Times New Roman" w:cs="Times New Roman"/>
                <w:b/>
                <w:sz w:val="22"/>
                <w:szCs w:val="22"/>
              </w:rPr>
              <w:t>Components</w:t>
            </w:r>
          </w:p>
        </w:tc>
      </w:tr>
      <w:tr w:rsidR="007C08BF" w:rsidTr="00014CC8">
        <w:tc>
          <w:tcPr>
            <w:tcW w:w="1439" w:type="dxa"/>
          </w:tcPr>
          <w:p w:rsidR="007C08BF" w:rsidRPr="007C08BF" w:rsidRDefault="007C08BF" w:rsidP="00014CC8">
            <w:pPr>
              <w:spacing w:before="60"/>
              <w:rPr>
                <w:rFonts w:eastAsia="Times New Roman" w:cs="Times New Roman"/>
                <w:sz w:val="22"/>
                <w:szCs w:val="22"/>
              </w:rPr>
            </w:pPr>
            <w:r w:rsidRPr="007C08BF">
              <w:rPr>
                <w:rFonts w:eastAsia="Times New Roman" w:cs="Times New Roman"/>
                <w:sz w:val="22"/>
                <w:szCs w:val="22"/>
              </w:rPr>
              <w:t>Data Use Agreement (DUA)</w:t>
            </w:r>
          </w:p>
          <w:p w:rsidR="007C08BF" w:rsidRPr="007C08BF" w:rsidRDefault="007C08BF" w:rsidP="00014CC8">
            <w:pPr>
              <w:rPr>
                <w:rFonts w:eastAsia="Times New Roman" w:cs="Times New Roman"/>
                <w:sz w:val="22"/>
                <w:szCs w:val="22"/>
              </w:rPr>
            </w:pPr>
          </w:p>
        </w:tc>
        <w:tc>
          <w:tcPr>
            <w:tcW w:w="3349" w:type="dxa"/>
          </w:tcPr>
          <w:p w:rsidR="007C08BF" w:rsidRPr="007C08BF" w:rsidRDefault="007C08BF" w:rsidP="00014CC8">
            <w:pPr>
              <w:spacing w:before="60"/>
              <w:rPr>
                <w:rFonts w:eastAsia="Times New Roman" w:cs="Times New Roman"/>
                <w:sz w:val="22"/>
                <w:szCs w:val="22"/>
              </w:rPr>
            </w:pPr>
            <w:r w:rsidRPr="007C08BF">
              <w:rPr>
                <w:rFonts w:eastAsia="Times New Roman" w:cs="Times New Roman"/>
                <w:sz w:val="22"/>
                <w:szCs w:val="22"/>
              </w:rPr>
              <w:t xml:space="preserve">A covered entity may use or disclose a limited data set (health information from which certain direct personal identifiers have been removed) if that entity obtains a data use agreement from the potential recipient. </w:t>
            </w:r>
          </w:p>
          <w:p w:rsidR="007C08BF" w:rsidRPr="007C08BF" w:rsidRDefault="007C08BF" w:rsidP="00014CC8">
            <w:pPr>
              <w:rPr>
                <w:rFonts w:eastAsia="Times New Roman" w:cs="Times New Roman"/>
                <w:sz w:val="22"/>
                <w:szCs w:val="22"/>
              </w:rPr>
            </w:pPr>
          </w:p>
          <w:p w:rsidR="007C08BF" w:rsidRPr="007C08BF" w:rsidRDefault="007C08BF" w:rsidP="00014CC8">
            <w:pPr>
              <w:rPr>
                <w:rFonts w:eastAsia="Times New Roman" w:cs="Times New Roman"/>
                <w:sz w:val="22"/>
                <w:szCs w:val="22"/>
              </w:rPr>
            </w:pPr>
            <w:r w:rsidRPr="007C08BF">
              <w:rPr>
                <w:rFonts w:eastAsia="Times New Roman" w:cs="Times New Roman"/>
                <w:sz w:val="22"/>
                <w:szCs w:val="22"/>
              </w:rPr>
              <w:t>This information can only be used for: Research, Public Health, or Health Care Operations. A limited data set is protected health information under HIPAA.</w:t>
            </w:r>
          </w:p>
        </w:tc>
        <w:tc>
          <w:tcPr>
            <w:tcW w:w="4230" w:type="dxa"/>
          </w:tcPr>
          <w:p w:rsidR="007C08BF" w:rsidRPr="007C08BF" w:rsidRDefault="007C08BF" w:rsidP="007C08BF">
            <w:pPr>
              <w:pStyle w:val="ListParagraph"/>
              <w:numPr>
                <w:ilvl w:val="0"/>
                <w:numId w:val="19"/>
              </w:numPr>
              <w:spacing w:before="60" w:line="240" w:lineRule="auto"/>
              <w:rPr>
                <w:rFonts w:eastAsia="Times New Roman" w:cs="Times New Roman"/>
                <w:sz w:val="22"/>
                <w:szCs w:val="22"/>
              </w:rPr>
            </w:pPr>
            <w:r w:rsidRPr="007C08BF">
              <w:rPr>
                <w:rFonts w:eastAsia="Times New Roman" w:cs="Times New Roman"/>
                <w:sz w:val="22"/>
                <w:szCs w:val="22"/>
              </w:rPr>
              <w:t>Establishes what the data will be used for.</w:t>
            </w:r>
          </w:p>
          <w:p w:rsidR="007C08BF" w:rsidRPr="007C08BF" w:rsidRDefault="007C08BF" w:rsidP="007C08BF">
            <w:pPr>
              <w:pStyle w:val="ListParagraph"/>
              <w:numPr>
                <w:ilvl w:val="0"/>
                <w:numId w:val="19"/>
              </w:numPr>
              <w:spacing w:line="240" w:lineRule="auto"/>
              <w:rPr>
                <w:rFonts w:eastAsia="Times New Roman" w:cs="Times New Roman"/>
                <w:sz w:val="22"/>
                <w:szCs w:val="22"/>
              </w:rPr>
            </w:pPr>
            <w:r w:rsidRPr="007C08BF">
              <w:rPr>
                <w:rFonts w:eastAsia="Times New Roman" w:cs="Times New Roman"/>
                <w:sz w:val="22"/>
                <w:szCs w:val="22"/>
              </w:rPr>
              <w:t xml:space="preserve">Establishes who is permitted to use or receive the limited data set. </w:t>
            </w:r>
          </w:p>
          <w:p w:rsidR="007C08BF" w:rsidRPr="007C08BF" w:rsidRDefault="007C08BF" w:rsidP="007C08BF">
            <w:pPr>
              <w:pStyle w:val="ListParagraph"/>
              <w:numPr>
                <w:ilvl w:val="0"/>
                <w:numId w:val="19"/>
              </w:numPr>
              <w:spacing w:line="240" w:lineRule="auto"/>
              <w:rPr>
                <w:rFonts w:eastAsia="Times New Roman" w:cs="Times New Roman"/>
                <w:sz w:val="22"/>
                <w:szCs w:val="22"/>
              </w:rPr>
            </w:pPr>
            <w:r w:rsidRPr="007C08BF">
              <w:rPr>
                <w:rFonts w:eastAsia="Times New Roman" w:cs="Times New Roman"/>
                <w:sz w:val="22"/>
                <w:szCs w:val="22"/>
              </w:rPr>
              <w:t>Provides that the limited data set recipient will:</w:t>
            </w:r>
          </w:p>
          <w:p w:rsidR="007C08BF" w:rsidRPr="007C08BF" w:rsidRDefault="007C08BF" w:rsidP="007C08BF">
            <w:pPr>
              <w:pStyle w:val="ListParagraph"/>
              <w:numPr>
                <w:ilvl w:val="0"/>
                <w:numId w:val="21"/>
              </w:numPr>
              <w:spacing w:line="240" w:lineRule="auto"/>
              <w:rPr>
                <w:rFonts w:eastAsia="Times New Roman" w:cs="Times New Roman"/>
                <w:color w:val="1F4D78" w:themeColor="accent1" w:themeShade="7F"/>
                <w:sz w:val="22"/>
                <w:szCs w:val="22"/>
              </w:rPr>
            </w:pPr>
            <w:r w:rsidRPr="007C08BF">
              <w:rPr>
                <w:rFonts w:eastAsia="Times New Roman" w:cs="Times New Roman"/>
                <w:sz w:val="22"/>
                <w:szCs w:val="22"/>
              </w:rPr>
              <w:t>Not use the information in a manner inconsistent with the DUA or other laws.</w:t>
            </w:r>
          </w:p>
          <w:p w:rsidR="007C08BF" w:rsidRPr="007C08BF" w:rsidRDefault="007C08BF" w:rsidP="007C08BF">
            <w:pPr>
              <w:pStyle w:val="ListParagraph"/>
              <w:numPr>
                <w:ilvl w:val="0"/>
                <w:numId w:val="21"/>
              </w:numPr>
              <w:spacing w:line="240" w:lineRule="auto"/>
              <w:rPr>
                <w:rFonts w:eastAsia="Times New Roman" w:cs="Times New Roman"/>
                <w:color w:val="1F4D78" w:themeColor="accent1" w:themeShade="7F"/>
                <w:sz w:val="22"/>
                <w:szCs w:val="22"/>
              </w:rPr>
            </w:pPr>
            <w:r w:rsidRPr="007C08BF">
              <w:rPr>
                <w:rFonts w:eastAsia="Times New Roman" w:cs="Times New Roman"/>
                <w:sz w:val="22"/>
                <w:szCs w:val="22"/>
              </w:rPr>
              <w:t xml:space="preserve">Employ safeguards to ensure that this does not happen. </w:t>
            </w:r>
          </w:p>
          <w:p w:rsidR="007C08BF" w:rsidRPr="007C08BF" w:rsidRDefault="007C08BF" w:rsidP="007C08BF">
            <w:pPr>
              <w:pStyle w:val="ListParagraph"/>
              <w:numPr>
                <w:ilvl w:val="0"/>
                <w:numId w:val="21"/>
              </w:numPr>
              <w:spacing w:line="240" w:lineRule="auto"/>
              <w:rPr>
                <w:rFonts w:eastAsia="Times New Roman" w:cs="Times New Roman"/>
                <w:color w:val="1F4D78" w:themeColor="accent1" w:themeShade="7F"/>
                <w:sz w:val="22"/>
                <w:szCs w:val="22"/>
              </w:rPr>
            </w:pPr>
            <w:r w:rsidRPr="007C08BF">
              <w:rPr>
                <w:rFonts w:eastAsia="Times New Roman" w:cs="Times New Roman"/>
                <w:sz w:val="22"/>
                <w:szCs w:val="22"/>
              </w:rPr>
              <w:t xml:space="preserve">Report to the covered entity any use of the information that was not stipulated in the DUA. </w:t>
            </w:r>
          </w:p>
          <w:p w:rsidR="007C08BF" w:rsidRPr="007C08BF" w:rsidRDefault="007C08BF" w:rsidP="007C08BF">
            <w:pPr>
              <w:pStyle w:val="ListParagraph"/>
              <w:numPr>
                <w:ilvl w:val="0"/>
                <w:numId w:val="21"/>
              </w:numPr>
              <w:spacing w:line="240" w:lineRule="auto"/>
              <w:rPr>
                <w:rFonts w:eastAsia="Times New Roman" w:cs="Times New Roman"/>
                <w:color w:val="1F4D78" w:themeColor="accent1" w:themeShade="7F"/>
                <w:sz w:val="22"/>
                <w:szCs w:val="22"/>
              </w:rPr>
            </w:pPr>
            <w:r w:rsidRPr="007C08BF">
              <w:rPr>
                <w:rFonts w:eastAsia="Times New Roman" w:cs="Times New Roman"/>
                <w:sz w:val="22"/>
                <w:szCs w:val="22"/>
              </w:rPr>
              <w:t xml:space="preserve">Ensure that any other parties, including subcontractors, agree to the same conditions as the limited data set recipient in the DUA. </w:t>
            </w:r>
          </w:p>
          <w:p w:rsidR="007C08BF" w:rsidRPr="007C08BF" w:rsidRDefault="007C08BF" w:rsidP="007C08BF">
            <w:pPr>
              <w:pStyle w:val="ListParagraph"/>
              <w:numPr>
                <w:ilvl w:val="0"/>
                <w:numId w:val="21"/>
              </w:numPr>
              <w:spacing w:after="60" w:line="240" w:lineRule="auto"/>
              <w:rPr>
                <w:rFonts w:eastAsia="Times New Roman" w:cs="Times New Roman"/>
                <w:color w:val="1F4D78" w:themeColor="accent1" w:themeShade="7F"/>
                <w:sz w:val="22"/>
                <w:szCs w:val="22"/>
              </w:rPr>
            </w:pPr>
            <w:r w:rsidRPr="007C08BF">
              <w:rPr>
                <w:rFonts w:eastAsia="Times New Roman" w:cs="Times New Roman"/>
                <w:sz w:val="22"/>
                <w:szCs w:val="22"/>
              </w:rPr>
              <w:t>Not identify the information or contact the individuals themselves</w:t>
            </w:r>
          </w:p>
        </w:tc>
      </w:tr>
      <w:tr w:rsidR="007C08BF" w:rsidTr="007C08BF">
        <w:trPr>
          <w:trHeight w:val="3563"/>
        </w:trPr>
        <w:tc>
          <w:tcPr>
            <w:tcW w:w="1439" w:type="dxa"/>
          </w:tcPr>
          <w:p w:rsidR="007C08BF" w:rsidRPr="007C08BF" w:rsidRDefault="007C08BF" w:rsidP="00014CC8">
            <w:pPr>
              <w:spacing w:before="60"/>
              <w:rPr>
                <w:rFonts w:eastAsia="Times New Roman" w:cs="Times New Roman"/>
                <w:sz w:val="22"/>
                <w:szCs w:val="22"/>
              </w:rPr>
            </w:pPr>
            <w:r w:rsidRPr="007C08BF">
              <w:rPr>
                <w:rFonts w:eastAsia="Times New Roman" w:cs="Times New Roman"/>
                <w:sz w:val="22"/>
                <w:szCs w:val="22"/>
              </w:rPr>
              <w:t>Business Associate Agreement (BAA)</w:t>
            </w:r>
          </w:p>
          <w:p w:rsidR="007C08BF" w:rsidRPr="007C08BF" w:rsidRDefault="007C08BF" w:rsidP="00014CC8">
            <w:pPr>
              <w:rPr>
                <w:rFonts w:eastAsia="Times New Roman" w:cs="Times New Roman"/>
                <w:sz w:val="22"/>
                <w:szCs w:val="22"/>
              </w:rPr>
            </w:pPr>
          </w:p>
        </w:tc>
        <w:tc>
          <w:tcPr>
            <w:tcW w:w="3349" w:type="dxa"/>
          </w:tcPr>
          <w:p w:rsidR="007C08BF" w:rsidRPr="007C08BF" w:rsidRDefault="007C08BF" w:rsidP="00014CC8">
            <w:pPr>
              <w:spacing w:before="60"/>
              <w:rPr>
                <w:rFonts w:eastAsia="Times New Roman" w:cs="Times New Roman"/>
                <w:sz w:val="22"/>
                <w:szCs w:val="22"/>
              </w:rPr>
            </w:pPr>
            <w:r w:rsidRPr="007C08BF">
              <w:rPr>
                <w:rFonts w:eastAsia="Times New Roman" w:cs="Times New Roman"/>
                <w:sz w:val="22"/>
                <w:szCs w:val="22"/>
              </w:rPr>
              <w:t>A business associate is a person or entity that performs certain functions or activities involving the use or disclosure of protected health information on behalf of, or provides services to, a covered entity. A covered entity’s contract or other written arrangement with its business associate must contain the elements specified at 45 CFR 165.504(e).</w:t>
            </w:r>
          </w:p>
          <w:p w:rsidR="007C08BF" w:rsidRPr="007C08BF" w:rsidRDefault="007C08BF" w:rsidP="00014CC8">
            <w:pPr>
              <w:rPr>
                <w:rFonts w:eastAsia="Times New Roman" w:cs="Times New Roman"/>
                <w:sz w:val="22"/>
                <w:szCs w:val="22"/>
              </w:rPr>
            </w:pPr>
          </w:p>
          <w:p w:rsidR="007C08BF" w:rsidRPr="007C08BF" w:rsidRDefault="007C08BF" w:rsidP="00014CC8">
            <w:pPr>
              <w:rPr>
                <w:rFonts w:eastAsia="Times New Roman" w:cs="Times New Roman"/>
                <w:sz w:val="22"/>
                <w:szCs w:val="22"/>
              </w:rPr>
            </w:pPr>
          </w:p>
        </w:tc>
        <w:tc>
          <w:tcPr>
            <w:tcW w:w="4230" w:type="dxa"/>
          </w:tcPr>
          <w:p w:rsidR="007C08BF" w:rsidRPr="007C08BF" w:rsidRDefault="007C08BF" w:rsidP="007C08BF">
            <w:pPr>
              <w:pStyle w:val="ListParagraph"/>
              <w:numPr>
                <w:ilvl w:val="0"/>
                <w:numId w:val="20"/>
              </w:numPr>
              <w:spacing w:before="60" w:line="240" w:lineRule="auto"/>
              <w:rPr>
                <w:rFonts w:eastAsia="Times New Roman" w:cs="Times New Roman"/>
                <w:sz w:val="22"/>
                <w:szCs w:val="22"/>
              </w:rPr>
            </w:pPr>
            <w:r w:rsidRPr="007C08BF">
              <w:rPr>
                <w:rFonts w:eastAsia="Times New Roman" w:cs="Times New Roman"/>
                <w:sz w:val="22"/>
                <w:szCs w:val="22"/>
              </w:rPr>
              <w:t xml:space="preserve">Describes the permitted and required uses of protected health information by the business associate. </w:t>
            </w:r>
          </w:p>
          <w:p w:rsidR="007C08BF" w:rsidRPr="007C08BF" w:rsidRDefault="007C08BF" w:rsidP="007C08BF">
            <w:pPr>
              <w:pStyle w:val="ListParagraph"/>
              <w:numPr>
                <w:ilvl w:val="0"/>
                <w:numId w:val="20"/>
              </w:numPr>
              <w:spacing w:line="240" w:lineRule="auto"/>
              <w:rPr>
                <w:rFonts w:eastAsia="Times New Roman" w:cs="Times New Roman"/>
                <w:sz w:val="22"/>
                <w:szCs w:val="22"/>
              </w:rPr>
            </w:pPr>
            <w:r w:rsidRPr="007C08BF">
              <w:rPr>
                <w:rFonts w:eastAsia="Times New Roman" w:cs="Times New Roman"/>
                <w:sz w:val="22"/>
                <w:szCs w:val="22"/>
              </w:rPr>
              <w:t xml:space="preserve">Provides that the business associate will not use or further disclose the protected health information other than as permitted or required by the contract or as required by law. </w:t>
            </w:r>
          </w:p>
          <w:p w:rsidR="007C08BF" w:rsidRPr="007C08BF" w:rsidRDefault="007C08BF" w:rsidP="007C08BF">
            <w:pPr>
              <w:pStyle w:val="ListParagraph"/>
              <w:numPr>
                <w:ilvl w:val="0"/>
                <w:numId w:val="20"/>
              </w:numPr>
              <w:spacing w:line="240" w:lineRule="auto"/>
              <w:rPr>
                <w:rFonts w:eastAsia="Times New Roman" w:cs="Times New Roman"/>
                <w:sz w:val="22"/>
                <w:szCs w:val="22"/>
              </w:rPr>
            </w:pPr>
            <w:r w:rsidRPr="007C08BF">
              <w:rPr>
                <w:rFonts w:eastAsia="Times New Roman" w:cs="Times New Roman"/>
                <w:sz w:val="22"/>
                <w:szCs w:val="22"/>
              </w:rPr>
              <w:t>Requires the business associate to use appropriate safeguards to prevent a use or disclosure of the protected health information other than as provided for by the contract.</w:t>
            </w:r>
          </w:p>
        </w:tc>
      </w:tr>
      <w:tr w:rsidR="007C08BF" w:rsidTr="00014CC8">
        <w:tc>
          <w:tcPr>
            <w:tcW w:w="1439" w:type="dxa"/>
          </w:tcPr>
          <w:p w:rsidR="007C08BF" w:rsidRPr="007C08BF" w:rsidRDefault="007C08BF" w:rsidP="00014CC8">
            <w:pPr>
              <w:spacing w:before="60"/>
              <w:rPr>
                <w:rFonts w:eastAsia="Times New Roman" w:cs="Times New Roman"/>
                <w:sz w:val="22"/>
                <w:szCs w:val="22"/>
              </w:rPr>
            </w:pPr>
            <w:r w:rsidRPr="007C08BF">
              <w:rPr>
                <w:rFonts w:eastAsia="Times New Roman" w:cs="Times New Roman"/>
                <w:sz w:val="22"/>
                <w:szCs w:val="22"/>
              </w:rPr>
              <w:t>Participation Agreement (PA)</w:t>
            </w:r>
          </w:p>
          <w:p w:rsidR="007C08BF" w:rsidRPr="007C08BF" w:rsidRDefault="007C08BF" w:rsidP="00014CC8">
            <w:pPr>
              <w:rPr>
                <w:rFonts w:eastAsia="Times New Roman" w:cs="Times New Roman"/>
                <w:sz w:val="22"/>
                <w:szCs w:val="22"/>
              </w:rPr>
            </w:pPr>
          </w:p>
        </w:tc>
        <w:tc>
          <w:tcPr>
            <w:tcW w:w="3349" w:type="dxa"/>
          </w:tcPr>
          <w:p w:rsidR="007C08BF" w:rsidRPr="007C08BF" w:rsidRDefault="007C08BF" w:rsidP="007C08BF">
            <w:pPr>
              <w:spacing w:before="60"/>
              <w:rPr>
                <w:rFonts w:eastAsia="Times New Roman" w:cs="Times New Roman"/>
                <w:sz w:val="22"/>
                <w:szCs w:val="22"/>
              </w:rPr>
            </w:pPr>
            <w:r w:rsidRPr="007C08BF">
              <w:rPr>
                <w:rFonts w:eastAsia="Times New Roman" w:cs="Times New Roman"/>
                <w:sz w:val="22"/>
                <w:szCs w:val="22"/>
              </w:rPr>
              <w:t>Designed to ensure that participants comply with the data sharing policies and procedures, Participation Agreements spell out the terms of the relationship, including the roles, rights and responsibility of each party as they pertain to the initiative.</w:t>
            </w:r>
          </w:p>
        </w:tc>
        <w:tc>
          <w:tcPr>
            <w:tcW w:w="4230" w:type="dxa"/>
          </w:tcPr>
          <w:p w:rsidR="007C08BF" w:rsidRPr="007C08BF" w:rsidRDefault="007C08BF" w:rsidP="00014CC8">
            <w:pPr>
              <w:spacing w:before="60"/>
              <w:rPr>
                <w:rFonts w:eastAsia="Times New Roman" w:cs="Times New Roman"/>
                <w:sz w:val="22"/>
                <w:szCs w:val="22"/>
              </w:rPr>
            </w:pPr>
            <w:r w:rsidRPr="007C08BF">
              <w:rPr>
                <w:rFonts w:eastAsia="Times New Roman" w:cs="Times New Roman"/>
                <w:sz w:val="22"/>
                <w:szCs w:val="22"/>
              </w:rPr>
              <w:t>May include or reference one or more of the above-named agreements.</w:t>
            </w:r>
          </w:p>
          <w:p w:rsidR="007C08BF" w:rsidRPr="007C08BF" w:rsidRDefault="007C08BF" w:rsidP="00014CC8">
            <w:pPr>
              <w:rPr>
                <w:rFonts w:eastAsia="Times New Roman" w:cs="Times New Roman"/>
                <w:sz w:val="22"/>
                <w:szCs w:val="22"/>
              </w:rPr>
            </w:pPr>
          </w:p>
        </w:tc>
      </w:tr>
    </w:tbl>
    <w:p w:rsidR="007C08BF" w:rsidRPr="007C08BF" w:rsidRDefault="007C08BF" w:rsidP="007C08BF">
      <w:pPr>
        <w:pStyle w:val="Heading2"/>
      </w:pPr>
      <w:r w:rsidRPr="007C08BF">
        <w:lastRenderedPageBreak/>
        <w:t>Common governance challenges</w:t>
      </w:r>
    </w:p>
    <w:p w:rsidR="007C08BF" w:rsidRPr="007C08BF" w:rsidRDefault="007C08BF" w:rsidP="007C08BF">
      <w:pPr>
        <w:rPr>
          <w:szCs w:val="22"/>
        </w:rPr>
      </w:pPr>
      <w:r w:rsidRPr="007C08BF">
        <w:rPr>
          <w:szCs w:val="22"/>
        </w:rPr>
        <w:t xml:space="preserve">Any community collaborative that involves sharing data will almost certainly have to address a range of governance issues, including coming to agreement on whether it is for surveillance or research (see </w:t>
      </w:r>
      <w:r w:rsidRPr="007C08BF">
        <w:rPr>
          <w:i/>
          <w:szCs w:val="22"/>
        </w:rPr>
        <w:t>Distinguishing Surveillance from Research</w:t>
      </w:r>
      <w:r w:rsidR="008850BF">
        <w:rPr>
          <w:i/>
          <w:szCs w:val="22"/>
        </w:rPr>
        <w:t xml:space="preserve"> </w:t>
      </w:r>
      <w:r w:rsidR="008850BF" w:rsidRPr="008850BF">
        <w:rPr>
          <w:szCs w:val="22"/>
        </w:rPr>
        <w:t>under</w:t>
      </w:r>
      <w:r w:rsidR="008850BF">
        <w:rPr>
          <w:i/>
          <w:szCs w:val="22"/>
        </w:rPr>
        <w:t xml:space="preserve"> Supplemental Reading in Clarifying Legal and Policy Issues</w:t>
      </w:r>
      <w:r w:rsidRPr="007C08BF">
        <w:rPr>
          <w:szCs w:val="22"/>
        </w:rPr>
        <w:t>) and navigating the requirements for using identified, de-identified or sensitive data.</w:t>
      </w:r>
      <w:r>
        <w:rPr>
          <w:szCs w:val="22"/>
        </w:rPr>
        <w:br/>
      </w:r>
      <w:r>
        <w:rPr>
          <w:szCs w:val="22"/>
        </w:rPr>
        <w:br/>
      </w:r>
      <w:r w:rsidRPr="007C08BF">
        <w:rPr>
          <w:szCs w:val="22"/>
        </w:rPr>
        <w:t>You may also have to manage market-based challenges among your health</w:t>
      </w:r>
      <w:r w:rsidR="008850BF">
        <w:rPr>
          <w:szCs w:val="22"/>
        </w:rPr>
        <w:t xml:space="preserve"> </w:t>
      </w:r>
      <w:r w:rsidRPr="007C08BF">
        <w:rPr>
          <w:szCs w:val="22"/>
        </w:rPr>
        <w:t xml:space="preserve">care partners, including their protecting and withholding </w:t>
      </w:r>
      <w:r w:rsidRPr="007C08BF">
        <w:rPr>
          <w:rFonts w:eastAsia="Times New Roman" w:cs="Times New Roman"/>
        </w:rPr>
        <w:t xml:space="preserve">data because they view it as intellectual property or a strategic asset or concerns over another entity taking their patients. </w:t>
      </w:r>
      <w:r>
        <w:rPr>
          <w:rFonts w:eastAsia="Times New Roman" w:cs="Times New Roman"/>
        </w:rPr>
        <w:br/>
      </w:r>
      <w:r>
        <w:rPr>
          <w:rFonts w:eastAsia="Times New Roman" w:cs="Times New Roman"/>
        </w:rPr>
        <w:br/>
      </w:r>
      <w:r w:rsidRPr="007C08BF">
        <w:rPr>
          <w:szCs w:val="22"/>
        </w:rPr>
        <w:t>Although the lessons learned from the study cited in the article appear simple, in practical application, they are likely to be substantially challenging and time-consuming. The lessons learned include:</w:t>
      </w:r>
    </w:p>
    <w:p w:rsidR="007C08BF" w:rsidRPr="007C08BF" w:rsidRDefault="00E01941" w:rsidP="007C08BF">
      <w:pPr>
        <w:pStyle w:val="Bulletlist"/>
      </w:pPr>
      <w:r>
        <w:t>Engage s</w:t>
      </w:r>
      <w:r w:rsidR="007C08BF" w:rsidRPr="007C08BF">
        <w:t xml:space="preserve">takeholders </w:t>
      </w:r>
    </w:p>
    <w:p w:rsidR="007C08BF" w:rsidRPr="007C08BF" w:rsidRDefault="007C08BF" w:rsidP="007C08BF">
      <w:pPr>
        <w:pStyle w:val="Bulletlist"/>
      </w:pPr>
      <w:r w:rsidRPr="007C08BF">
        <w:t xml:space="preserve">Identify and </w:t>
      </w:r>
      <w:r w:rsidR="00E01941">
        <w:t>c</w:t>
      </w:r>
      <w:r w:rsidRPr="007C08BF">
        <w:t xml:space="preserve">ommunicate the </w:t>
      </w:r>
      <w:r w:rsidR="00E01941">
        <w:t>v</w:t>
      </w:r>
      <w:r w:rsidRPr="007C08BF">
        <w:t xml:space="preserve">alue </w:t>
      </w:r>
      <w:r w:rsidR="00E01941">
        <w:t>p</w:t>
      </w:r>
      <w:r w:rsidRPr="007C08BF">
        <w:t xml:space="preserve">roposition </w:t>
      </w:r>
    </w:p>
    <w:p w:rsidR="007C08BF" w:rsidRPr="007C08BF" w:rsidRDefault="007C08BF" w:rsidP="007C08BF">
      <w:pPr>
        <w:pStyle w:val="Bulletlist"/>
      </w:pPr>
      <w:r w:rsidRPr="007C08BF">
        <w:t xml:space="preserve">Start </w:t>
      </w:r>
      <w:r w:rsidR="00E01941">
        <w:t>s</w:t>
      </w:r>
      <w:r w:rsidRPr="007C08BF">
        <w:t xml:space="preserve">mall, </w:t>
      </w:r>
      <w:r w:rsidR="00E01941">
        <w:t>t</w:t>
      </w:r>
      <w:r w:rsidRPr="007C08BF">
        <w:t xml:space="preserve">hen </w:t>
      </w:r>
      <w:r w:rsidR="00E01941">
        <w:t>e</w:t>
      </w:r>
      <w:r w:rsidRPr="007C08BF">
        <w:t xml:space="preserve">xpand: </w:t>
      </w:r>
      <w:r w:rsidR="00E01941">
        <w:t>a</w:t>
      </w:r>
      <w:r w:rsidRPr="007C08BF">
        <w:t xml:space="preserve">dopt a </w:t>
      </w:r>
      <w:r w:rsidR="00E01941">
        <w:t>p</w:t>
      </w:r>
      <w:r w:rsidRPr="007C08BF">
        <w:t xml:space="preserve">arsimonious </w:t>
      </w:r>
      <w:r w:rsidR="00E01941">
        <w:t>a</w:t>
      </w:r>
      <w:r w:rsidRPr="007C08BF">
        <w:t xml:space="preserve">pproach </w:t>
      </w:r>
    </w:p>
    <w:p w:rsidR="007C08BF" w:rsidRPr="007C08BF" w:rsidRDefault="007C08BF" w:rsidP="007C08BF">
      <w:pPr>
        <w:pStyle w:val="Bulletlist"/>
      </w:pPr>
      <w:r w:rsidRPr="007C08BF">
        <w:t xml:space="preserve">Address </w:t>
      </w:r>
      <w:r w:rsidR="00E01941">
        <w:t>m</w:t>
      </w:r>
      <w:r w:rsidRPr="007C08BF">
        <w:t xml:space="preserve">arket-based </w:t>
      </w:r>
      <w:r w:rsidR="00E01941">
        <w:t>c</w:t>
      </w:r>
      <w:r w:rsidRPr="007C08BF">
        <w:t xml:space="preserve">oncerns </w:t>
      </w:r>
    </w:p>
    <w:p w:rsidR="007C08BF" w:rsidRPr="007C08BF" w:rsidRDefault="007C08BF" w:rsidP="007C08BF">
      <w:pPr>
        <w:pStyle w:val="Bulletlist"/>
      </w:pPr>
      <w:r w:rsidRPr="007C08BF">
        <w:t xml:space="preserve">Adapt and </w:t>
      </w:r>
      <w:r w:rsidR="00E01941">
        <w:t>e</w:t>
      </w:r>
      <w:r w:rsidRPr="007C08BF">
        <w:t xml:space="preserve">xpand </w:t>
      </w:r>
      <w:r w:rsidR="00E01941">
        <w:t>e</w:t>
      </w:r>
      <w:r w:rsidRPr="007C08BF">
        <w:t xml:space="preserve">xisting </w:t>
      </w:r>
      <w:r w:rsidR="00E01941">
        <w:t>a</w:t>
      </w:r>
      <w:r w:rsidRPr="007C08BF">
        <w:t xml:space="preserve">greements and </w:t>
      </w:r>
      <w:r w:rsidR="00E01941">
        <w:t>p</w:t>
      </w:r>
      <w:r w:rsidRPr="007C08BF">
        <w:t xml:space="preserve">artnerships </w:t>
      </w:r>
    </w:p>
    <w:p w:rsidR="007C08BF" w:rsidRPr="007C08BF" w:rsidRDefault="007C08BF" w:rsidP="007C08BF">
      <w:pPr>
        <w:pStyle w:val="Bulletlist"/>
        <w:rPr>
          <w:szCs w:val="22"/>
        </w:rPr>
      </w:pPr>
      <w:r w:rsidRPr="007C08BF">
        <w:t xml:space="preserve">Anticipate the </w:t>
      </w:r>
      <w:r w:rsidR="00E01941">
        <w:t>t</w:t>
      </w:r>
      <w:r w:rsidRPr="007C08BF">
        <w:t xml:space="preserve">ime and </w:t>
      </w:r>
      <w:r w:rsidR="00E01941">
        <w:t>i</w:t>
      </w:r>
      <w:r w:rsidRPr="007C08BF">
        <w:t xml:space="preserve">nvestment </w:t>
      </w:r>
      <w:r w:rsidR="00E01941">
        <w:t>n</w:t>
      </w:r>
      <w:bookmarkStart w:id="0" w:name="_GoBack"/>
      <w:bookmarkEnd w:id="0"/>
      <w:r w:rsidRPr="007C08BF">
        <w:t xml:space="preserve">eeded </w:t>
      </w:r>
      <w:r>
        <w:br/>
      </w:r>
    </w:p>
    <w:p w:rsidR="007C08BF" w:rsidRPr="007C08BF" w:rsidRDefault="00155C3C" w:rsidP="007C08BF">
      <w:pPr>
        <w:rPr>
          <w:szCs w:val="22"/>
        </w:rPr>
      </w:pPr>
      <w:r>
        <w:rPr>
          <w:szCs w:val="22"/>
        </w:rPr>
        <w:t>As page nine</w:t>
      </w:r>
      <w:r w:rsidR="007C08BF" w:rsidRPr="007C08BF">
        <w:rPr>
          <w:szCs w:val="22"/>
        </w:rPr>
        <w:t xml:space="preserve"> of the cited article notes, “Unlike many aspects of health IT, in which diverse stakeholders are striving for increased development and adoption of common standards (e.g., data elements, vocabulary, transport protocols, patient identifiers, etc.), DSAs and governance policies are customized at virtually every level, and depend on many factors. Because of the number and variety of potential partners involved in community-based quality improvement initiatives, and the variability across applicable state laws, this is particularly true at the community level. However, certain generalizations can be drawn from the diverse experiences of the Beacon Communities and applied to the efforts of others. Notable are the importance of trust, multi-stakeholder input, a clear value proposition, and shared [surveillance and] QI objectives.” </w:t>
      </w:r>
    </w:p>
    <w:p w:rsidR="00CB7F7F" w:rsidRPr="007C08BF" w:rsidRDefault="00CB7F7F" w:rsidP="007C08BF"/>
    <w:sectPr w:rsidR="00CB7F7F" w:rsidRPr="007C08BF" w:rsidSect="00E7782C">
      <w:headerReference w:type="default" r:id="rId9"/>
      <w:footerReference w:type="default" r:id="rId10"/>
      <w:headerReference w:type="first" r:id="rId11"/>
      <w:footerReference w:type="first" r:id="rId12"/>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03" w:rsidRDefault="000B1903" w:rsidP="003A1012">
      <w:pPr>
        <w:spacing w:after="0" w:line="240" w:lineRule="auto"/>
      </w:pPr>
      <w:r>
        <w:separator/>
      </w:r>
    </w:p>
  </w:endnote>
  <w:endnote w:type="continuationSeparator" w:id="0">
    <w:p w:rsidR="000B1903" w:rsidRDefault="000B1903"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79A762BA" wp14:editId="2583744E">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6E031B60" wp14:editId="083E1742">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108B6707" wp14:editId="4EFC3D60">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CD7CBF">
                            <w:rPr>
                              <w:noProof/>
                              <w:sz w:val="17"/>
                              <w:szCs w:val="17"/>
                            </w:rPr>
                            <w:t>3</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CD7CBF">
                      <w:rPr>
                        <w:noProof/>
                        <w:sz w:val="17"/>
                        <w:szCs w:val="17"/>
                      </w:rPr>
                      <w:t>3</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3DCB70CE" wp14:editId="40B35C03">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60A8D25F" wp14:editId="479B7DCC">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335DB8B" wp14:editId="34343492">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1D18D0B" wp14:editId="6F1CCE30">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3F1EF68E" wp14:editId="21E58DD0">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03" w:rsidRDefault="000B1903" w:rsidP="003A1012">
      <w:pPr>
        <w:spacing w:after="0" w:line="240" w:lineRule="auto"/>
      </w:pPr>
      <w:r>
        <w:separator/>
      </w:r>
    </w:p>
  </w:footnote>
  <w:footnote w:type="continuationSeparator" w:id="0">
    <w:p w:rsidR="000B1903" w:rsidRDefault="000B1903" w:rsidP="003A1012">
      <w:pPr>
        <w:spacing w:after="0" w:line="240" w:lineRule="auto"/>
      </w:pPr>
      <w:r>
        <w:continuationSeparator/>
      </w:r>
    </w:p>
  </w:footnote>
  <w:footnote w:id="1">
    <w:p w:rsidR="007C08BF" w:rsidRPr="007C08BF" w:rsidRDefault="007C08BF" w:rsidP="007C08BF">
      <w:pPr>
        <w:pStyle w:val="FootnoteText"/>
      </w:pPr>
      <w:r w:rsidRPr="007C08BF">
        <w:rPr>
          <w:rStyle w:val="FootnoteReference"/>
        </w:rPr>
        <w:footnoteRef/>
      </w:r>
      <w:r w:rsidRPr="007C08BF">
        <w:t xml:space="preserve"> </w:t>
      </w:r>
      <w:r w:rsidRPr="007C08BF">
        <w:rPr>
          <w:rFonts w:eastAsia="Times New Roman" w:cs="Times New Roman"/>
          <w:sz w:val="22"/>
          <w:szCs w:val="22"/>
        </w:rPr>
        <w:t xml:space="preserve">Allen, Claudia; Des </w:t>
      </w:r>
      <w:proofErr w:type="spellStart"/>
      <w:r w:rsidRPr="007C08BF">
        <w:rPr>
          <w:rFonts w:eastAsia="Times New Roman" w:cs="Times New Roman"/>
          <w:sz w:val="22"/>
          <w:szCs w:val="22"/>
        </w:rPr>
        <w:t>Jardins</w:t>
      </w:r>
      <w:proofErr w:type="spellEnd"/>
      <w:r w:rsidRPr="007C08BF">
        <w:rPr>
          <w:rFonts w:eastAsia="Times New Roman" w:cs="Times New Roman"/>
          <w:sz w:val="22"/>
          <w:szCs w:val="22"/>
        </w:rPr>
        <w:t xml:space="preserve">, </w:t>
      </w:r>
      <w:proofErr w:type="spellStart"/>
      <w:r w:rsidRPr="007C08BF">
        <w:rPr>
          <w:rFonts w:eastAsia="Times New Roman" w:cs="Times New Roman"/>
          <w:sz w:val="22"/>
          <w:szCs w:val="22"/>
        </w:rPr>
        <w:t>Terrisca</w:t>
      </w:r>
      <w:proofErr w:type="spellEnd"/>
      <w:r w:rsidRPr="007C08BF">
        <w:rPr>
          <w:rFonts w:eastAsia="Times New Roman" w:cs="Times New Roman"/>
          <w:sz w:val="22"/>
          <w:szCs w:val="22"/>
        </w:rPr>
        <w:t xml:space="preserve"> R.; </w:t>
      </w:r>
      <w:proofErr w:type="spellStart"/>
      <w:r w:rsidRPr="007C08BF">
        <w:rPr>
          <w:rFonts w:eastAsia="Times New Roman" w:cs="Times New Roman"/>
          <w:sz w:val="22"/>
          <w:szCs w:val="22"/>
        </w:rPr>
        <w:t>Heider</w:t>
      </w:r>
      <w:proofErr w:type="spellEnd"/>
      <w:r w:rsidRPr="007C08BF">
        <w:rPr>
          <w:rFonts w:eastAsia="Times New Roman" w:cs="Times New Roman"/>
          <w:sz w:val="22"/>
          <w:szCs w:val="22"/>
        </w:rPr>
        <w:t xml:space="preserve">, </w:t>
      </w:r>
      <w:proofErr w:type="spellStart"/>
      <w:r w:rsidRPr="007C08BF">
        <w:rPr>
          <w:rFonts w:eastAsia="Times New Roman" w:cs="Times New Roman"/>
          <w:sz w:val="22"/>
          <w:szCs w:val="22"/>
        </w:rPr>
        <w:t>Arvela</w:t>
      </w:r>
      <w:proofErr w:type="spellEnd"/>
      <w:r w:rsidRPr="007C08BF">
        <w:rPr>
          <w:rFonts w:eastAsia="Times New Roman" w:cs="Times New Roman"/>
          <w:sz w:val="22"/>
          <w:szCs w:val="22"/>
        </w:rPr>
        <w:t xml:space="preserve">; Lyman, Kristin A.; McWilliams, Lee; Rein, Alison L.; </w:t>
      </w:r>
      <w:proofErr w:type="spellStart"/>
      <w:r w:rsidRPr="007C08BF">
        <w:rPr>
          <w:rFonts w:eastAsia="Times New Roman" w:cs="Times New Roman"/>
          <w:sz w:val="22"/>
          <w:szCs w:val="22"/>
        </w:rPr>
        <w:t>Schachter</w:t>
      </w:r>
      <w:proofErr w:type="spellEnd"/>
      <w:r w:rsidRPr="007C08BF">
        <w:rPr>
          <w:rFonts w:eastAsia="Times New Roman" w:cs="Times New Roman"/>
          <w:sz w:val="22"/>
          <w:szCs w:val="22"/>
        </w:rPr>
        <w:t xml:space="preserve">, Abigail A.; Singh, </w:t>
      </w:r>
      <w:proofErr w:type="spellStart"/>
      <w:r w:rsidRPr="007C08BF">
        <w:rPr>
          <w:rFonts w:eastAsia="Times New Roman" w:cs="Times New Roman"/>
          <w:sz w:val="22"/>
          <w:szCs w:val="22"/>
        </w:rPr>
        <w:t>Ranjit</w:t>
      </w:r>
      <w:proofErr w:type="spellEnd"/>
      <w:r w:rsidRPr="007C08BF">
        <w:rPr>
          <w:rFonts w:eastAsia="Times New Roman" w:cs="Times New Roman"/>
          <w:sz w:val="22"/>
          <w:szCs w:val="22"/>
        </w:rPr>
        <w:t xml:space="preserve">; </w:t>
      </w:r>
      <w:proofErr w:type="spellStart"/>
      <w:r w:rsidRPr="007C08BF">
        <w:rPr>
          <w:rFonts w:eastAsia="Times New Roman" w:cs="Times New Roman"/>
          <w:sz w:val="22"/>
          <w:szCs w:val="22"/>
        </w:rPr>
        <w:t>Sorondo</w:t>
      </w:r>
      <w:proofErr w:type="spellEnd"/>
      <w:r w:rsidRPr="007C08BF">
        <w:rPr>
          <w:rFonts w:eastAsia="Times New Roman" w:cs="Times New Roman"/>
          <w:sz w:val="22"/>
          <w:szCs w:val="22"/>
        </w:rPr>
        <w:t xml:space="preserve">, Barbara; Topper, Joan; and </w:t>
      </w:r>
      <w:proofErr w:type="spellStart"/>
      <w:r w:rsidRPr="007C08BF">
        <w:rPr>
          <w:rFonts w:eastAsia="Times New Roman" w:cs="Times New Roman"/>
          <w:sz w:val="22"/>
          <w:szCs w:val="22"/>
        </w:rPr>
        <w:t>Turske</w:t>
      </w:r>
      <w:proofErr w:type="spellEnd"/>
      <w:r w:rsidRPr="007C08BF">
        <w:rPr>
          <w:rFonts w:eastAsia="Times New Roman" w:cs="Times New Roman"/>
          <w:sz w:val="22"/>
          <w:szCs w:val="22"/>
        </w:rPr>
        <w:t xml:space="preserve">, Scott A. (2014) "Data Governance and Data Sharing Agreements for Community-Wide Health Information Exchange: Lessons from the Beacon Communities," </w:t>
      </w:r>
      <w:proofErr w:type="spellStart"/>
      <w:r w:rsidRPr="007C08BF">
        <w:rPr>
          <w:rFonts w:eastAsia="Times New Roman" w:cs="Times New Roman"/>
          <w:sz w:val="22"/>
          <w:szCs w:val="22"/>
        </w:rPr>
        <w:t>eGEMs</w:t>
      </w:r>
      <w:proofErr w:type="spellEnd"/>
      <w:r w:rsidRPr="007C08BF">
        <w:rPr>
          <w:rFonts w:eastAsia="Times New Roman" w:cs="Times New Roman"/>
          <w:sz w:val="22"/>
          <w:szCs w:val="22"/>
        </w:rPr>
        <w:t xml:space="preserve"> (Generating Evidence &amp; Methods to improve patient outcomes): Vol. 2: </w:t>
      </w:r>
      <w:proofErr w:type="spellStart"/>
      <w:r w:rsidRPr="007C08BF">
        <w:rPr>
          <w:rFonts w:eastAsia="Times New Roman" w:cs="Times New Roman"/>
          <w:sz w:val="22"/>
          <w:szCs w:val="22"/>
        </w:rPr>
        <w:t>Iss</w:t>
      </w:r>
      <w:proofErr w:type="spellEnd"/>
      <w:r w:rsidRPr="007C08BF">
        <w:rPr>
          <w:rFonts w:eastAsia="Times New Roman" w:cs="Times New Roman"/>
          <w:sz w:val="22"/>
          <w:szCs w:val="22"/>
        </w:rPr>
        <w:t xml:space="preserve">. </w:t>
      </w:r>
      <w:proofErr w:type="gramStart"/>
      <w:r w:rsidRPr="007C08BF">
        <w:rPr>
          <w:rFonts w:eastAsia="Times New Roman" w:cs="Times New Roman"/>
          <w:sz w:val="22"/>
          <w:szCs w:val="22"/>
        </w:rPr>
        <w:t>1, Article 5.</w:t>
      </w:r>
      <w:proofErr w:type="gramEnd"/>
      <w:r w:rsidRPr="007C08BF">
        <w:rPr>
          <w:rFonts w:eastAsia="Times New Roman" w:cs="Times New Roman"/>
          <w:sz w:val="22"/>
          <w:szCs w:val="22"/>
        </w:rPr>
        <w:t xml:space="preserve"> Available at: </w:t>
      </w:r>
      <w:hyperlink r:id="rId1" w:history="1">
        <w:r w:rsidRPr="007C08BF">
          <w:rPr>
            <w:rStyle w:val="Hyperlink"/>
            <w:rFonts w:asciiTheme="minorHAnsi" w:eastAsia="Times New Roman" w:hAnsiTheme="minorHAnsi" w:cs="Times New Roman"/>
            <w:sz w:val="22"/>
            <w:szCs w:val="22"/>
          </w:rPr>
          <w:t>http://repository.academyhealth.org/egems/vol2/iss1/5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3942C1A2" wp14:editId="510B30BA">
              <wp:simplePos x="0" y="0"/>
              <wp:positionH relativeFrom="page">
                <wp:posOffset>2018805</wp:posOffset>
              </wp:positionH>
              <wp:positionV relativeFrom="page">
                <wp:posOffset>771896</wp:posOffset>
              </wp:positionV>
              <wp:extent cx="4441372" cy="451262"/>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372" cy="451262"/>
                      </a:xfrm>
                      <a:prstGeom prst="rect">
                        <a:avLst/>
                      </a:prstGeom>
                      <a:solidFill>
                        <a:srgbClr val="FFFFFF"/>
                      </a:solidFill>
                      <a:ln w="9525">
                        <a:noFill/>
                        <a:miter lim="800000"/>
                        <a:headEnd/>
                        <a:tailEnd/>
                      </a:ln>
                    </wps:spPr>
                    <wps:txbx>
                      <w:txbxContent>
                        <w:p w:rsidR="00CB7F7F" w:rsidRPr="00CB7F7F" w:rsidRDefault="0066356B" w:rsidP="00CB7F7F">
                          <w:pPr>
                            <w:pStyle w:val="Subtitle"/>
                            <w:rPr>
                              <w:sz w:val="28"/>
                              <w:szCs w:val="28"/>
                            </w:rPr>
                          </w:pPr>
                          <w:r>
                            <w:rPr>
                              <w:sz w:val="28"/>
                              <w:szCs w:val="28"/>
                            </w:rPr>
                            <w:t>Data Governance and Data Sharing Agreements</w:t>
                          </w:r>
                          <w:r w:rsidR="00B718F2">
                            <w:rPr>
                              <w:sz w:val="28"/>
                              <w:szCs w:val="28"/>
                            </w:rPr>
                            <w:br/>
                          </w:r>
                          <w:r w:rsidR="00B718F2" w:rsidRPr="00B718F2">
                            <w:rPr>
                              <w:i/>
                              <w:sz w:val="28"/>
                              <w:szCs w:val="28"/>
                            </w:rPr>
                            <w:t>Supplemental Reading</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95pt;margin-top:60.8pt;width:349.7pt;height:35.5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" stroked="f">
              <v:textbox inset="0,0,0,0">
                <w:txbxContent>
                  <w:p w:rsidR="00CB7F7F" w:rsidRPr="00CB7F7F" w:rsidRDefault="0066356B" w:rsidP="00CB7F7F">
                    <w:pPr>
                      <w:pStyle w:val="Subtitle"/>
                      <w:rPr>
                        <w:sz w:val="28"/>
                        <w:szCs w:val="28"/>
                      </w:rPr>
                    </w:pPr>
                    <w:r>
                      <w:rPr>
                        <w:sz w:val="28"/>
                        <w:szCs w:val="28"/>
                      </w:rPr>
                      <w:t>Data Governance and Data Sharing Agreements</w:t>
                    </w:r>
                    <w:r w:rsidR="00B718F2">
                      <w:rPr>
                        <w:sz w:val="28"/>
                        <w:szCs w:val="28"/>
                      </w:rPr>
                      <w:br/>
                    </w:r>
                    <w:r w:rsidR="00B718F2" w:rsidRPr="00B718F2">
                      <w:rPr>
                        <w:i/>
                        <w:sz w:val="28"/>
                        <w:szCs w:val="28"/>
                      </w:rPr>
                      <w:t>Supplemental Reading</w:t>
                    </w:r>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545AF8F3" wp14:editId="410D719F">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66356B" w:rsidP="00140B28">
                          <w:pPr>
                            <w:pStyle w:val="Title"/>
                            <w:rPr>
                              <w:sz w:val="36"/>
                              <w:szCs w:val="36"/>
                            </w:rPr>
                          </w:pPr>
                          <w:r>
                            <w:rPr>
                              <w:sz w:val="32"/>
                              <w:szCs w:val="32"/>
                            </w:rPr>
                            <w:t>3</w:t>
                          </w:r>
                          <w:r w:rsidR="004877B9" w:rsidRPr="00140B28">
                            <w:rPr>
                              <w:sz w:val="32"/>
                              <w:szCs w:val="32"/>
                            </w:rPr>
                            <w:t xml:space="preserve">. </w:t>
                          </w:r>
                          <w:r>
                            <w:rPr>
                              <w:sz w:val="32"/>
                              <w:szCs w:val="32"/>
                            </w:rPr>
                            <w:t>Forming Partnerships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66356B" w:rsidP="00140B28">
                    <w:pPr>
                      <w:pStyle w:val="Title"/>
                      <w:rPr>
                        <w:sz w:val="36"/>
                        <w:szCs w:val="36"/>
                      </w:rPr>
                    </w:pPr>
                    <w:r>
                      <w:rPr>
                        <w:sz w:val="32"/>
                        <w:szCs w:val="32"/>
                      </w:rPr>
                      <w:t>3</w:t>
                    </w:r>
                    <w:r w:rsidR="004877B9" w:rsidRPr="00140B28">
                      <w:rPr>
                        <w:sz w:val="32"/>
                        <w:szCs w:val="32"/>
                      </w:rPr>
                      <w:t xml:space="preserve">. </w:t>
                    </w:r>
                    <w:r>
                      <w:rPr>
                        <w:sz w:val="32"/>
                        <w:szCs w:val="32"/>
                      </w:rPr>
                      <w:t>Forming Partnerships</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4B6946ED" wp14:editId="20D2D395">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3BDDBC60" wp14:editId="44908E2F">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8AB7CB5" wp14:editId="65DC3193">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4B66BE20" wp14:editId="3F98B6C7">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2350D1"/>
    <w:multiLevelType w:val="multilevel"/>
    <w:tmpl w:val="38A46A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14F4E"/>
    <w:multiLevelType w:val="multilevel"/>
    <w:tmpl w:val="7478B1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96977A1"/>
    <w:multiLevelType w:val="hybridMultilevel"/>
    <w:tmpl w:val="44C21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17A03"/>
    <w:multiLevelType w:val="multilevel"/>
    <w:tmpl w:val="1EBC63D2"/>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7">
    <w:nsid w:val="2DC113DC"/>
    <w:multiLevelType w:val="hybridMultilevel"/>
    <w:tmpl w:val="0BAC18E6"/>
    <w:lvl w:ilvl="0" w:tplc="04090003">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nsid w:val="341B24C1"/>
    <w:multiLevelType w:val="multilevel"/>
    <w:tmpl w:val="922625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47641974"/>
    <w:multiLevelType w:val="hybridMultilevel"/>
    <w:tmpl w:val="A2DC6E08"/>
    <w:lvl w:ilvl="0" w:tplc="086A4550">
      <w:start w:val="2"/>
      <w:numFmt w:val="decimal"/>
      <w:lvlText w:val="%1."/>
      <w:lvlJc w:val="left"/>
      <w:pPr>
        <w:ind w:left="360" w:hanging="360"/>
      </w:pPr>
      <w:rPr>
        <w:rFonts w:ascii="Calibri" w:eastAsia="Calibri" w:hAnsi="Calibri" w:cs="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CE1EC5"/>
    <w:multiLevelType w:val="hybridMultilevel"/>
    <w:tmpl w:val="6AEEC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3">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064594"/>
    <w:multiLevelType w:val="hybridMultilevel"/>
    <w:tmpl w:val="2118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3"/>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8"/>
  </w:num>
  <w:num w:numId="10">
    <w:abstractNumId w:val="16"/>
  </w:num>
  <w:num w:numId="11">
    <w:abstractNumId w:val="2"/>
  </w:num>
  <w:num w:numId="12">
    <w:abstractNumId w:val="12"/>
  </w:num>
  <w:num w:numId="13">
    <w:abstractNumId w:val="0"/>
  </w:num>
  <w:num w:numId="14">
    <w:abstractNumId w:val="1"/>
  </w:num>
  <w:num w:numId="15">
    <w:abstractNumId w:val="3"/>
  </w:num>
  <w:num w:numId="16">
    <w:abstractNumId w:val="9"/>
  </w:num>
  <w:num w:numId="17">
    <w:abstractNumId w:val="6"/>
  </w:num>
  <w:num w:numId="18">
    <w:abstractNumId w:val="10"/>
  </w:num>
  <w:num w:numId="19">
    <w:abstractNumId w:val="11"/>
  </w:num>
  <w:num w:numId="20">
    <w:abstractNumId w:val="4"/>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B1903"/>
    <w:rsid w:val="000F1986"/>
    <w:rsid w:val="001133F6"/>
    <w:rsid w:val="00114E7C"/>
    <w:rsid w:val="001227EE"/>
    <w:rsid w:val="00140B28"/>
    <w:rsid w:val="0014281C"/>
    <w:rsid w:val="00155C3C"/>
    <w:rsid w:val="001739FD"/>
    <w:rsid w:val="00181CAF"/>
    <w:rsid w:val="001D44E7"/>
    <w:rsid w:val="002413EF"/>
    <w:rsid w:val="00252A8E"/>
    <w:rsid w:val="002929FA"/>
    <w:rsid w:val="003A1012"/>
    <w:rsid w:val="003C3141"/>
    <w:rsid w:val="004877B9"/>
    <w:rsid w:val="004E5B5F"/>
    <w:rsid w:val="004F4745"/>
    <w:rsid w:val="005063B1"/>
    <w:rsid w:val="005A2801"/>
    <w:rsid w:val="005F35DA"/>
    <w:rsid w:val="006577FE"/>
    <w:rsid w:val="00657D9A"/>
    <w:rsid w:val="0066356B"/>
    <w:rsid w:val="0068203F"/>
    <w:rsid w:val="006D756C"/>
    <w:rsid w:val="007066D8"/>
    <w:rsid w:val="0071241B"/>
    <w:rsid w:val="00746CEB"/>
    <w:rsid w:val="007A4409"/>
    <w:rsid w:val="007C08BF"/>
    <w:rsid w:val="007F3B1A"/>
    <w:rsid w:val="0081028D"/>
    <w:rsid w:val="00847E17"/>
    <w:rsid w:val="008850BF"/>
    <w:rsid w:val="008C2786"/>
    <w:rsid w:val="008C4D00"/>
    <w:rsid w:val="00920B33"/>
    <w:rsid w:val="00A0318C"/>
    <w:rsid w:val="00A04966"/>
    <w:rsid w:val="00A07369"/>
    <w:rsid w:val="00AA341B"/>
    <w:rsid w:val="00B43F3F"/>
    <w:rsid w:val="00B62DF6"/>
    <w:rsid w:val="00B718F2"/>
    <w:rsid w:val="00BE6F54"/>
    <w:rsid w:val="00C1700A"/>
    <w:rsid w:val="00CB7F7F"/>
    <w:rsid w:val="00CC1B83"/>
    <w:rsid w:val="00CD7CBF"/>
    <w:rsid w:val="00CE45E0"/>
    <w:rsid w:val="00D15DDF"/>
    <w:rsid w:val="00D36E29"/>
    <w:rsid w:val="00DD1F2F"/>
    <w:rsid w:val="00E01941"/>
    <w:rsid w:val="00E06FF9"/>
    <w:rsid w:val="00E7782C"/>
    <w:rsid w:val="00ED31F7"/>
    <w:rsid w:val="00F9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paragraph" w:customStyle="1" w:styleId="bullet">
    <w:name w:val="bullet"/>
    <w:basedOn w:val="ListParagraph"/>
    <w:link w:val="bulletChar"/>
    <w:qFormat/>
    <w:rsid w:val="00B718F2"/>
    <w:pPr>
      <w:spacing w:after="0" w:line="240" w:lineRule="auto"/>
      <w:ind w:hanging="360"/>
    </w:pPr>
    <w:rPr>
      <w:rFonts w:eastAsia="Times New Roman" w:cs="Tahoma"/>
      <w:sz w:val="24"/>
      <w:szCs w:val="24"/>
    </w:rPr>
  </w:style>
  <w:style w:type="character" w:customStyle="1" w:styleId="bulletChar">
    <w:name w:val="bullet Char"/>
    <w:basedOn w:val="DefaultParagraphFont"/>
    <w:link w:val="bullet"/>
    <w:rsid w:val="00B718F2"/>
    <w:rPr>
      <w:rFonts w:eastAsia="Times New Roman" w:cs="Tahoma"/>
      <w:sz w:val="24"/>
      <w:szCs w:val="24"/>
    </w:rPr>
  </w:style>
  <w:style w:type="paragraph" w:customStyle="1" w:styleId="ParticipantSheet">
    <w:name w:val="Participant Sheet"/>
    <w:basedOn w:val="Normal"/>
    <w:link w:val="ParticipantSheetChar"/>
    <w:qFormat/>
    <w:rsid w:val="00B718F2"/>
    <w:pPr>
      <w:spacing w:after="0" w:line="240" w:lineRule="auto"/>
    </w:pPr>
    <w:rPr>
      <w:rFonts w:ascii="Franklin Gothic Demi" w:eastAsia="Times New Roman" w:hAnsi="Franklin Gothic Demi" w:cs="Arial"/>
      <w:color w:val="ED7D31" w:themeColor="accent2"/>
      <w:sz w:val="32"/>
      <w:szCs w:val="26"/>
    </w:rPr>
  </w:style>
  <w:style w:type="character" w:customStyle="1" w:styleId="ParticipantSheetChar">
    <w:name w:val="Participant Sheet Char"/>
    <w:basedOn w:val="DefaultParagraphFont"/>
    <w:link w:val="ParticipantSheet"/>
    <w:rsid w:val="00B718F2"/>
    <w:rPr>
      <w:rFonts w:ascii="Franklin Gothic Demi" w:eastAsia="Times New Roman" w:hAnsi="Franklin Gothic Demi" w:cs="Arial"/>
      <w:color w:val="ED7D31" w:themeColor="accent2"/>
      <w:sz w:val="32"/>
      <w:szCs w:val="26"/>
    </w:rPr>
  </w:style>
  <w:style w:type="paragraph" w:styleId="BalloonText">
    <w:name w:val="Balloon Text"/>
    <w:basedOn w:val="Normal"/>
    <w:link w:val="BalloonTextChar"/>
    <w:uiPriority w:val="99"/>
    <w:semiHidden/>
    <w:unhideWhenUsed/>
    <w:rsid w:val="00B71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F2"/>
    <w:rPr>
      <w:rFonts w:ascii="Tahoma" w:hAnsi="Tahoma" w:cs="Tahoma"/>
      <w:sz w:val="16"/>
      <w:szCs w:val="16"/>
    </w:rPr>
  </w:style>
  <w:style w:type="paragraph" w:styleId="FootnoteText">
    <w:name w:val="footnote text"/>
    <w:basedOn w:val="Normal"/>
    <w:link w:val="FootnoteTextChar"/>
    <w:uiPriority w:val="99"/>
    <w:unhideWhenUsed/>
    <w:rsid w:val="007C08BF"/>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C08BF"/>
    <w:rPr>
      <w:rFonts w:eastAsiaTheme="minorEastAsia"/>
      <w:sz w:val="24"/>
      <w:szCs w:val="24"/>
    </w:rPr>
  </w:style>
  <w:style w:type="character" w:styleId="FootnoteReference">
    <w:name w:val="footnote reference"/>
    <w:basedOn w:val="DefaultParagraphFont"/>
    <w:uiPriority w:val="99"/>
    <w:unhideWhenUsed/>
    <w:rsid w:val="007C08BF"/>
    <w:rPr>
      <w:vertAlign w:val="superscript"/>
    </w:rPr>
  </w:style>
  <w:style w:type="table" w:styleId="TableGrid">
    <w:name w:val="Table Grid"/>
    <w:basedOn w:val="TableNormal"/>
    <w:uiPriority w:val="59"/>
    <w:rsid w:val="007C08B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paragraph" w:customStyle="1" w:styleId="bullet">
    <w:name w:val="bullet"/>
    <w:basedOn w:val="ListParagraph"/>
    <w:link w:val="bulletChar"/>
    <w:qFormat/>
    <w:rsid w:val="00B718F2"/>
    <w:pPr>
      <w:spacing w:after="0" w:line="240" w:lineRule="auto"/>
      <w:ind w:hanging="360"/>
    </w:pPr>
    <w:rPr>
      <w:rFonts w:eastAsia="Times New Roman" w:cs="Tahoma"/>
      <w:sz w:val="24"/>
      <w:szCs w:val="24"/>
    </w:rPr>
  </w:style>
  <w:style w:type="character" w:customStyle="1" w:styleId="bulletChar">
    <w:name w:val="bullet Char"/>
    <w:basedOn w:val="DefaultParagraphFont"/>
    <w:link w:val="bullet"/>
    <w:rsid w:val="00B718F2"/>
    <w:rPr>
      <w:rFonts w:eastAsia="Times New Roman" w:cs="Tahoma"/>
      <w:sz w:val="24"/>
      <w:szCs w:val="24"/>
    </w:rPr>
  </w:style>
  <w:style w:type="paragraph" w:customStyle="1" w:styleId="ParticipantSheet">
    <w:name w:val="Participant Sheet"/>
    <w:basedOn w:val="Normal"/>
    <w:link w:val="ParticipantSheetChar"/>
    <w:qFormat/>
    <w:rsid w:val="00B718F2"/>
    <w:pPr>
      <w:spacing w:after="0" w:line="240" w:lineRule="auto"/>
    </w:pPr>
    <w:rPr>
      <w:rFonts w:ascii="Franklin Gothic Demi" w:eastAsia="Times New Roman" w:hAnsi="Franklin Gothic Demi" w:cs="Arial"/>
      <w:color w:val="ED7D31" w:themeColor="accent2"/>
      <w:sz w:val="32"/>
      <w:szCs w:val="26"/>
    </w:rPr>
  </w:style>
  <w:style w:type="character" w:customStyle="1" w:styleId="ParticipantSheetChar">
    <w:name w:val="Participant Sheet Char"/>
    <w:basedOn w:val="DefaultParagraphFont"/>
    <w:link w:val="ParticipantSheet"/>
    <w:rsid w:val="00B718F2"/>
    <w:rPr>
      <w:rFonts w:ascii="Franklin Gothic Demi" w:eastAsia="Times New Roman" w:hAnsi="Franklin Gothic Demi" w:cs="Arial"/>
      <w:color w:val="ED7D31" w:themeColor="accent2"/>
      <w:sz w:val="32"/>
      <w:szCs w:val="26"/>
    </w:rPr>
  </w:style>
  <w:style w:type="paragraph" w:styleId="BalloonText">
    <w:name w:val="Balloon Text"/>
    <w:basedOn w:val="Normal"/>
    <w:link w:val="BalloonTextChar"/>
    <w:uiPriority w:val="99"/>
    <w:semiHidden/>
    <w:unhideWhenUsed/>
    <w:rsid w:val="00B71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F2"/>
    <w:rPr>
      <w:rFonts w:ascii="Tahoma" w:hAnsi="Tahoma" w:cs="Tahoma"/>
      <w:sz w:val="16"/>
      <w:szCs w:val="16"/>
    </w:rPr>
  </w:style>
  <w:style w:type="paragraph" w:styleId="FootnoteText">
    <w:name w:val="footnote text"/>
    <w:basedOn w:val="Normal"/>
    <w:link w:val="FootnoteTextChar"/>
    <w:uiPriority w:val="99"/>
    <w:unhideWhenUsed/>
    <w:rsid w:val="007C08BF"/>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C08BF"/>
    <w:rPr>
      <w:rFonts w:eastAsiaTheme="minorEastAsia"/>
      <w:sz w:val="24"/>
      <w:szCs w:val="24"/>
    </w:rPr>
  </w:style>
  <w:style w:type="character" w:styleId="FootnoteReference">
    <w:name w:val="footnote reference"/>
    <w:basedOn w:val="DefaultParagraphFont"/>
    <w:uiPriority w:val="99"/>
    <w:unhideWhenUsed/>
    <w:rsid w:val="007C08BF"/>
    <w:rPr>
      <w:vertAlign w:val="superscript"/>
    </w:rPr>
  </w:style>
  <w:style w:type="table" w:styleId="TableGrid">
    <w:name w:val="Table Grid"/>
    <w:basedOn w:val="TableNormal"/>
    <w:uiPriority w:val="59"/>
    <w:rsid w:val="007C08B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pository.academyhealth.org/egems/vol2/iss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D853B-4553-43FF-8997-43741A3B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8</cp:revision>
  <cp:lastPrinted>2015-09-22T19:57:00Z</cp:lastPrinted>
  <dcterms:created xsi:type="dcterms:W3CDTF">2015-08-06T16:01:00Z</dcterms:created>
  <dcterms:modified xsi:type="dcterms:W3CDTF">2015-09-22T19:58:00Z</dcterms:modified>
</cp:coreProperties>
</file>