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A7688D" w:rsidRDefault="00FE3622" w:rsidP="00215B92">
      <w:pPr>
        <w:pStyle w:val="Title"/>
        <w:rPr>
          <w:color w:val="0098A7"/>
        </w:rPr>
      </w:pPr>
      <w:r>
        <w:rPr>
          <w:color w:val="0098A7"/>
        </w:rPr>
        <w:t xml:space="preserve">Assembling the Team: Project Sponsors </w:t>
      </w:r>
    </w:p>
    <w:bookmarkStart w:id="0" w:name="_ytii46ix4k66" w:colFirst="0" w:colLast="0"/>
    <w:bookmarkEnd w:id="0"/>
    <w:p w:rsidR="005B071D" w:rsidRPr="005B071D" w:rsidRDefault="009A0666" w:rsidP="00322BDB">
      <w:pPr>
        <w:pStyle w:val="Subtitle"/>
        <w:spacing w:after="120"/>
        <w:rPr>
          <w:color w:val="0098A7"/>
        </w:rPr>
      </w:pPr>
      <w:r w:rsidRPr="002E67C7">
        <w:rPr>
          <w:sz w:val="22"/>
          <w:szCs w:val="22"/>
        </w:rPr>
        <mc:AlternateContent>
          <mc:Choice Requires="wps">
            <w:drawing>
              <wp:anchor distT="0" distB="0" distL="114300" distR="114300" simplePos="0" relativeHeight="251660288" behindDoc="0" locked="0" layoutInCell="1" allowOverlap="1" wp14:anchorId="0DB4D2D3" wp14:editId="6D088EA3">
                <wp:simplePos x="0" y="0"/>
                <wp:positionH relativeFrom="column">
                  <wp:posOffset>1924050</wp:posOffset>
                </wp:positionH>
                <wp:positionV relativeFrom="paragraph">
                  <wp:posOffset>257175</wp:posOffset>
                </wp:positionV>
                <wp:extent cx="723016" cy="644056"/>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723016" cy="644056"/>
                        </a:xfrm>
                        <a:prstGeom prst="rect">
                          <a:avLst/>
                        </a:prstGeom>
                        <a:noFill/>
                        <a:ln w="6350">
                          <a:noFill/>
                        </a:ln>
                      </wps:spPr>
                      <wps:txbx>
                        <w:txbxContent>
                          <w:p w:rsidR="002E67C7" w:rsidRDefault="002E67C7" w:rsidP="002E67C7">
                            <w:r>
                              <w:rPr>
                                <w:noProof/>
                              </w:rPr>
                              <w:drawing>
                                <wp:inline distT="0" distB="0" distL="0" distR="0" wp14:anchorId="79D3DB47" wp14:editId="4F903BE9">
                                  <wp:extent cx="492981" cy="492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icon- white.png"/>
                                          <pic:cNvPicPr/>
                                        </pic:nvPicPr>
                                        <pic:blipFill>
                                          <a:blip r:embed="rId7">
                                            <a:extLst>
                                              <a:ext uri="{28A0092B-C50C-407E-A947-70E740481C1C}">
                                                <a14:useLocalDpi xmlns:a14="http://schemas.microsoft.com/office/drawing/2010/main" val="0"/>
                                              </a:ext>
                                            </a:extLst>
                                          </a:blip>
                                          <a:stretch>
                                            <a:fillRect/>
                                          </a:stretch>
                                        </pic:blipFill>
                                        <pic:spPr>
                                          <a:xfrm>
                                            <a:off x="0" y="0"/>
                                            <a:ext cx="499151" cy="4991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4D2D3" id="_x0000_t202" coordsize="21600,21600" o:spt="202" path="m,l,21600r21600,l21600,xe">
                <v:stroke joinstyle="miter"/>
                <v:path gradientshapeok="t" o:connecttype="rect"/>
              </v:shapetype>
              <v:shape id="Text Box 3" o:spid="_x0000_s1026" type="#_x0000_t202" style="position:absolute;left:0;text-align:left;margin-left:151.5pt;margin-top:20.25pt;width:56.95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" filled="f" stroked="f" strokeweight=".5pt">
                <v:textbox>
                  <w:txbxContent>
                    <w:p w:rsidR="002E67C7" w:rsidRDefault="002E67C7" w:rsidP="002E67C7">
                      <w:r>
                        <w:rPr>
                          <w:noProof/>
                        </w:rPr>
                        <w:drawing>
                          <wp:inline distT="0" distB="0" distL="0" distR="0" wp14:anchorId="79D3DB47" wp14:editId="4F903BE9">
                            <wp:extent cx="492981" cy="492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icon- white.png"/>
                                    <pic:cNvPicPr/>
                                  </pic:nvPicPr>
                                  <pic:blipFill>
                                    <a:blip r:embed="rId8">
                                      <a:extLst>
                                        <a:ext uri="{28A0092B-C50C-407E-A947-70E740481C1C}">
                                          <a14:useLocalDpi xmlns:a14="http://schemas.microsoft.com/office/drawing/2010/main" val="0"/>
                                        </a:ext>
                                      </a:extLst>
                                    </a:blip>
                                    <a:stretch>
                                      <a:fillRect/>
                                    </a:stretch>
                                  </pic:blipFill>
                                  <pic:spPr>
                                    <a:xfrm>
                                      <a:off x="0" y="0"/>
                                      <a:ext cx="499151" cy="499151"/>
                                    </a:xfrm>
                                    <a:prstGeom prst="rect">
                                      <a:avLst/>
                                    </a:prstGeom>
                                  </pic:spPr>
                                </pic:pic>
                              </a:graphicData>
                            </a:graphic>
                          </wp:inline>
                        </w:drawing>
                      </w:r>
                    </w:p>
                  </w:txbxContent>
                </v:textbox>
              </v:shape>
            </w:pict>
          </mc:Fallback>
        </mc:AlternateContent>
      </w:r>
      <w:r w:rsidR="002E67C7" w:rsidRPr="002E67C7">
        <w:rPr>
          <w:sz w:val="22"/>
          <w:szCs w:val="22"/>
        </w:rPr>
        <mc:AlternateContent>
          <mc:Choice Requires="wps">
            <w:drawing>
              <wp:anchor distT="45720" distB="45720" distL="114300" distR="114300" simplePos="0" relativeHeight="251659264" behindDoc="0" locked="0" layoutInCell="1" allowOverlap="1" wp14:anchorId="2574ABF1" wp14:editId="07F50875">
                <wp:simplePos x="0" y="0"/>
                <wp:positionH relativeFrom="margin">
                  <wp:align>left</wp:align>
                </wp:positionH>
                <wp:positionV relativeFrom="paragraph">
                  <wp:posOffset>387350</wp:posOffset>
                </wp:positionV>
                <wp:extent cx="5462270" cy="5086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508635"/>
                        </a:xfrm>
                        <a:prstGeom prst="rect">
                          <a:avLst/>
                        </a:prstGeom>
                        <a:solidFill>
                          <a:srgbClr val="0098A7"/>
                        </a:solidFill>
                        <a:ln w="9525">
                          <a:noFill/>
                          <a:miter lim="800000"/>
                          <a:headEnd/>
                          <a:tailEnd/>
                        </a:ln>
                      </wps:spPr>
                      <wps:txbx>
                        <w:txbxContent>
                          <w:p w:rsidR="002E67C7" w:rsidRPr="0033796E" w:rsidRDefault="002E67C7" w:rsidP="002E67C7">
                            <w:pPr>
                              <w:jc w:val="center"/>
                              <w:rPr>
                                <w:b/>
                                <w:color w:val="FFFFFF" w:themeColor="background1"/>
                                <w:sz w:val="36"/>
                                <w:szCs w:val="36"/>
                              </w:rPr>
                            </w:pPr>
                            <w:r>
                              <w:rPr>
                                <w:b/>
                                <w:color w:val="FFFFFF" w:themeColor="background1"/>
                                <w:sz w:val="36"/>
                                <w:szCs w:val="36"/>
                              </w:rPr>
                              <w:t xml:space="preserve">        </w:t>
                            </w:r>
                            <w:r w:rsidRPr="0033796E">
                              <w:rPr>
                                <w:b/>
                                <w:color w:val="FFFFFF" w:themeColor="background1"/>
                                <w:sz w:val="36"/>
                                <w:szCs w:val="36"/>
                              </w:rPr>
                              <w:t>Planning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4ABF1" id="Text Box 2" o:spid="_x0000_s1027" type="#_x0000_t202" style="position:absolute;left:0;text-align:left;margin-left:0;margin-top:30.5pt;width:430.1pt;height:40.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" fillcolor="#0098a7" stroked="f">
                <v:textbox>
                  <w:txbxContent>
                    <w:p w:rsidR="002E67C7" w:rsidRPr="0033796E" w:rsidRDefault="002E67C7" w:rsidP="002E67C7">
                      <w:pPr>
                        <w:jc w:val="center"/>
                        <w:rPr>
                          <w:b/>
                          <w:color w:val="FFFFFF" w:themeColor="background1"/>
                          <w:sz w:val="36"/>
                          <w:szCs w:val="36"/>
                        </w:rPr>
                      </w:pPr>
                      <w:r>
                        <w:rPr>
                          <w:b/>
                          <w:color w:val="FFFFFF" w:themeColor="background1"/>
                          <w:sz w:val="36"/>
                          <w:szCs w:val="36"/>
                        </w:rPr>
                        <w:t xml:space="preserve">        </w:t>
                      </w:r>
                      <w:r w:rsidRPr="0033796E">
                        <w:rPr>
                          <w:b/>
                          <w:color w:val="FFFFFF" w:themeColor="background1"/>
                          <w:sz w:val="36"/>
                          <w:szCs w:val="36"/>
                        </w:rPr>
                        <w:t>Planning</w:t>
                      </w:r>
                    </w:p>
                  </w:txbxContent>
                </v:textbox>
                <w10:wrap type="square" anchorx="margin"/>
              </v:shape>
            </w:pict>
          </mc:Fallback>
        </mc:AlternateContent>
      </w:r>
      <w:r w:rsidR="00112C51">
        <w:rPr>
          <w:color w:val="0098A7"/>
        </w:rPr>
        <w:t>An interactive worksheet</w:t>
      </w:r>
    </w:p>
    <w:p w:rsidR="009A0666" w:rsidRDefault="009A0666" w:rsidP="009A0666">
      <w:pPr>
        <w:pBdr>
          <w:top w:val="nil"/>
          <w:left w:val="nil"/>
          <w:bottom w:val="nil"/>
          <w:right w:val="nil"/>
          <w:between w:val="nil"/>
        </w:pBdr>
        <w:rPr>
          <w:b/>
        </w:rPr>
      </w:pPr>
    </w:p>
    <w:p w:rsidR="00FE3622" w:rsidRDefault="00FE3622" w:rsidP="00FE3622">
      <w:pPr>
        <w:pBdr>
          <w:top w:val="nil"/>
          <w:left w:val="nil"/>
          <w:bottom w:val="nil"/>
          <w:right w:val="nil"/>
          <w:between w:val="nil"/>
        </w:pBdr>
        <w:rPr>
          <w:color w:val="000000"/>
        </w:rPr>
      </w:pPr>
      <w:r>
        <w:rPr>
          <w:color w:val="000000"/>
        </w:rPr>
        <w:t xml:space="preserve">The project sponsors are those individuals who are most responsible and accountable for a successful project. They typically ensure the necessary financial, human and other resources are in place, and have sufficient authority to address organizational barriers if they arise. Project sponsors can often serve as “champions” for the project both inside and outside of the agency. The sponsors are likely not involved in the day-to-day planning details but must be periodically briefed. The number of sponsors and their roles are largely dependent upon the nature and scope of the procurement project. </w:t>
      </w:r>
    </w:p>
    <w:p w:rsidR="00FE3622" w:rsidRDefault="00FE3622" w:rsidP="00FE3622">
      <w:pPr>
        <w:pBdr>
          <w:top w:val="nil"/>
          <w:left w:val="nil"/>
          <w:bottom w:val="nil"/>
          <w:right w:val="nil"/>
          <w:between w:val="nil"/>
        </w:pBdr>
        <w:rPr>
          <w:color w:val="000000"/>
        </w:rPr>
      </w:pPr>
      <w:r>
        <w:rPr>
          <w:color w:val="000000"/>
        </w:rPr>
        <w:t>The example worksheets below are for larger procurement projects, such as an IIS migratio</w:t>
      </w:r>
      <w:r>
        <w:rPr>
          <w:color w:val="000000"/>
        </w:rPr>
        <w:t>n. The second column entitled “</w:t>
      </w:r>
      <w:proofErr w:type="spellStart"/>
      <w:r>
        <w:rPr>
          <w:color w:val="000000"/>
        </w:rPr>
        <w:t>tole</w:t>
      </w:r>
      <w:proofErr w:type="spellEnd"/>
      <w:r>
        <w:rPr>
          <w:color w:val="000000"/>
        </w:rPr>
        <w:t>/t</w:t>
      </w:r>
      <w:r>
        <w:rPr>
          <w:color w:val="000000"/>
        </w:rPr>
        <w:t xml:space="preserve">itle” lists typical roles for a larger procurement project. The “specific role(s)” wording is offered as a suggestion only. </w:t>
      </w:r>
    </w:p>
    <w:p w:rsidR="00FE3622" w:rsidRPr="005934F0" w:rsidRDefault="00FE3622" w:rsidP="00FE3622">
      <w:pPr>
        <w:pBdr>
          <w:top w:val="nil"/>
          <w:left w:val="nil"/>
          <w:bottom w:val="nil"/>
          <w:right w:val="nil"/>
          <w:between w:val="nil"/>
        </w:pBdr>
        <w:rPr>
          <w:i/>
          <w:color w:val="000000"/>
        </w:rPr>
      </w:pPr>
      <w:r>
        <w:rPr>
          <w:i/>
          <w:color w:val="000000"/>
        </w:rPr>
        <w:t>Adapt</w:t>
      </w:r>
      <w:r w:rsidRPr="005934F0">
        <w:rPr>
          <w:i/>
          <w:color w:val="000000"/>
        </w:rPr>
        <w:t xml:space="preserve"> the roles and description as needed to fit your circumstances and needs. </w:t>
      </w:r>
    </w:p>
    <w:p w:rsidR="008D6A72" w:rsidRDefault="008D6A72" w:rsidP="009A0666">
      <w:pPr>
        <w:pStyle w:val="Heading2"/>
      </w:pPr>
    </w:p>
    <w:p w:rsidR="0008131A" w:rsidRDefault="0008131A" w:rsidP="00A04CDA"/>
    <w:p w:rsidR="00EA73BD" w:rsidRDefault="00EA73BD" w:rsidP="00A04CDA"/>
    <w:p w:rsidR="008076B4" w:rsidRDefault="008076B4" w:rsidP="00A04CDA"/>
    <w:p w:rsidR="004D5FA6" w:rsidRPr="004D5FA6" w:rsidRDefault="004D5FA6" w:rsidP="004D5FA6"/>
    <w:p w:rsidR="0008131A" w:rsidRDefault="0008131A" w:rsidP="00A04CDA">
      <w:pPr>
        <w:rPr>
          <w:color w:val="666666"/>
        </w:rPr>
      </w:pPr>
      <w:r>
        <w:br w:type="page"/>
      </w:r>
    </w:p>
    <w:p w:rsidR="00A04CDA" w:rsidRDefault="00F174F4" w:rsidP="00F174F4">
      <w:pPr>
        <w:pStyle w:val="Heading1"/>
      </w:pPr>
      <w:r>
        <w:rPr>
          <w:color w:val="0098A7"/>
        </w:rPr>
        <w:lastRenderedPageBreak/>
        <w:t xml:space="preserve">Worksheet: </w:t>
      </w:r>
      <w:r w:rsidR="00585E0B">
        <w:rPr>
          <w:color w:val="0098A7"/>
        </w:rPr>
        <w:t>project sponsors</w:t>
      </w:r>
    </w:p>
    <w:tbl>
      <w:tblPr>
        <w:tblStyle w:val="TableGrid"/>
        <w:tblW w:w="8928" w:type="dxa"/>
        <w:tblLook w:val="04A0" w:firstRow="1" w:lastRow="0" w:firstColumn="1" w:lastColumn="0" w:noHBand="0" w:noVBand="1"/>
      </w:tblPr>
      <w:tblGrid>
        <w:gridCol w:w="1908"/>
        <w:gridCol w:w="2790"/>
        <w:gridCol w:w="4230"/>
      </w:tblGrid>
      <w:tr w:rsidR="00A04CDA" w:rsidTr="005B071D">
        <w:tc>
          <w:tcPr>
            <w:tcW w:w="1908" w:type="dxa"/>
            <w:shd w:val="clear" w:color="auto" w:fill="0098A7"/>
          </w:tcPr>
          <w:p w:rsidR="00A04CDA" w:rsidRPr="007B5C78" w:rsidRDefault="00F174F4" w:rsidP="00A04CDA">
            <w:pPr>
              <w:pStyle w:val="Tabletext"/>
              <w:rPr>
                <w:b/>
                <w:color w:val="FFFFFF" w:themeColor="background1"/>
              </w:rPr>
            </w:pPr>
            <w:r w:rsidRPr="00F174F4">
              <w:rPr>
                <w:b/>
                <w:color w:val="FFFFFF" w:themeColor="background1"/>
              </w:rPr>
              <w:t>Name</w:t>
            </w:r>
          </w:p>
        </w:tc>
        <w:tc>
          <w:tcPr>
            <w:tcW w:w="2790" w:type="dxa"/>
            <w:shd w:val="clear" w:color="auto" w:fill="0098A7"/>
          </w:tcPr>
          <w:p w:rsidR="00A04CDA" w:rsidRPr="007B5C78" w:rsidRDefault="00A01DBD" w:rsidP="00A04CDA">
            <w:pPr>
              <w:pStyle w:val="Tabletext"/>
              <w:rPr>
                <w:b/>
                <w:color w:val="FFFFFF" w:themeColor="background1"/>
              </w:rPr>
            </w:pPr>
            <w:r>
              <w:rPr>
                <w:b/>
                <w:color w:val="FFFFFF" w:themeColor="background1"/>
              </w:rPr>
              <w:t>Role/t</w:t>
            </w:r>
            <w:r w:rsidR="00F174F4">
              <w:rPr>
                <w:b/>
                <w:color w:val="FFFFFF" w:themeColor="background1"/>
              </w:rPr>
              <w:t>itle</w:t>
            </w:r>
          </w:p>
        </w:tc>
        <w:tc>
          <w:tcPr>
            <w:tcW w:w="4230" w:type="dxa"/>
            <w:shd w:val="clear" w:color="auto" w:fill="0098A7"/>
          </w:tcPr>
          <w:p w:rsidR="00A04CDA" w:rsidRPr="007B5C78" w:rsidRDefault="00A01DBD" w:rsidP="00A04CDA">
            <w:pPr>
              <w:pStyle w:val="Tabletext"/>
              <w:rPr>
                <w:b/>
                <w:color w:val="FFFFFF" w:themeColor="background1"/>
              </w:rPr>
            </w:pPr>
            <w:r>
              <w:rPr>
                <w:b/>
                <w:color w:val="FFFFFF" w:themeColor="background1"/>
              </w:rPr>
              <w:t>Specific role (s)</w:t>
            </w:r>
            <w:r w:rsidR="00825980">
              <w:rPr>
                <w:b/>
                <w:color w:val="FFFFFF" w:themeColor="background1"/>
              </w:rPr>
              <w:t xml:space="preserve"> </w:t>
            </w:r>
            <w:r w:rsidR="00825980" w:rsidRPr="00825980">
              <w:rPr>
                <w:color w:val="FFFFFF" w:themeColor="background1"/>
              </w:rPr>
              <w:t>(adapt as needed)</w:t>
            </w:r>
          </w:p>
        </w:tc>
      </w:tr>
      <w:tr w:rsidR="00A04CDA" w:rsidTr="005B071D">
        <w:tc>
          <w:tcPr>
            <w:tcW w:w="1908" w:type="dxa"/>
          </w:tcPr>
          <w:p w:rsidR="00A04CDA" w:rsidRPr="000617B2" w:rsidRDefault="00A04CDA" w:rsidP="00A04CDA"/>
          <w:p w:rsidR="00F174F4" w:rsidRPr="000617B2" w:rsidRDefault="00F174F4" w:rsidP="00A04CDA"/>
        </w:tc>
        <w:tc>
          <w:tcPr>
            <w:tcW w:w="2790" w:type="dxa"/>
          </w:tcPr>
          <w:p w:rsidR="00A04CDA" w:rsidRPr="000617B2" w:rsidRDefault="000617B2" w:rsidP="00A04CDA">
            <w:r w:rsidRPr="000617B2">
              <w:rPr>
                <w:color w:val="000000"/>
              </w:rPr>
              <w:t>Health department leadership/executive sponsor</w:t>
            </w:r>
          </w:p>
        </w:tc>
        <w:tc>
          <w:tcPr>
            <w:tcW w:w="4230" w:type="dxa"/>
          </w:tcPr>
          <w:p w:rsidR="00A04CDA" w:rsidRPr="000617B2" w:rsidRDefault="000617B2" w:rsidP="00A01DBD">
            <w:pPr>
              <w:spacing w:before="60" w:after="60"/>
              <w:rPr>
                <w:color w:val="000000"/>
              </w:rPr>
            </w:pPr>
            <w:r w:rsidRPr="000617B2">
              <w:rPr>
                <w:color w:val="000000"/>
              </w:rPr>
              <w:t>Ensure executive support for the project; resolve inter/intra-departmental disputes; gather support.</w:t>
            </w:r>
          </w:p>
        </w:tc>
      </w:tr>
      <w:tr w:rsidR="00A04CDA" w:rsidTr="005B071D">
        <w:tc>
          <w:tcPr>
            <w:tcW w:w="1908" w:type="dxa"/>
          </w:tcPr>
          <w:p w:rsidR="00A04CDA" w:rsidRPr="000617B2" w:rsidRDefault="00A04CDA" w:rsidP="00A04CDA"/>
          <w:p w:rsidR="00F174F4" w:rsidRPr="000617B2" w:rsidRDefault="00F174F4" w:rsidP="00A04CDA"/>
        </w:tc>
        <w:tc>
          <w:tcPr>
            <w:tcW w:w="2790" w:type="dxa"/>
          </w:tcPr>
          <w:p w:rsidR="00A04CDA" w:rsidRPr="000617B2" w:rsidRDefault="000617B2" w:rsidP="00A04CDA">
            <w:r w:rsidRPr="000617B2">
              <w:rPr>
                <w:color w:val="000000"/>
              </w:rPr>
              <w:t>Immunization program manager</w:t>
            </w:r>
            <w:bookmarkStart w:id="1" w:name="_GoBack"/>
            <w:bookmarkEnd w:id="1"/>
          </w:p>
        </w:tc>
        <w:tc>
          <w:tcPr>
            <w:tcW w:w="4230" w:type="dxa"/>
          </w:tcPr>
          <w:p w:rsidR="00A04CDA" w:rsidRPr="000617B2" w:rsidRDefault="000617B2" w:rsidP="00A01DBD">
            <w:r w:rsidRPr="000617B2">
              <w:rPr>
                <w:color w:val="000000"/>
              </w:rPr>
              <w:t>Ensure program needs are fully and accurately described in the RFPs</w:t>
            </w:r>
            <w:r w:rsidR="000F6B7E">
              <w:rPr>
                <w:color w:val="000000"/>
              </w:rPr>
              <w:t>;</w:t>
            </w:r>
            <w:r w:rsidRPr="000617B2">
              <w:rPr>
                <w:color w:val="000000"/>
              </w:rPr>
              <w:t xml:space="preserve"> ensure program staff are engaged in defining IIS requirements; liaise with CDC; ensure funding is available for the length of the proposed project. May serve as project lead (see the next table).</w:t>
            </w:r>
          </w:p>
        </w:tc>
      </w:tr>
      <w:tr w:rsidR="00A01DBD" w:rsidTr="005B071D">
        <w:tc>
          <w:tcPr>
            <w:tcW w:w="1908" w:type="dxa"/>
          </w:tcPr>
          <w:p w:rsidR="00A01DBD" w:rsidRPr="000617B2" w:rsidRDefault="00A01DBD" w:rsidP="00A01DBD"/>
          <w:p w:rsidR="00A01DBD" w:rsidRPr="000617B2" w:rsidRDefault="00A01DBD" w:rsidP="00A01DBD"/>
        </w:tc>
        <w:tc>
          <w:tcPr>
            <w:tcW w:w="2790" w:type="dxa"/>
          </w:tcPr>
          <w:p w:rsidR="00A01DBD" w:rsidRPr="000617B2" w:rsidRDefault="000617B2" w:rsidP="00A01DBD">
            <w:pPr>
              <w:spacing w:before="60" w:after="60"/>
              <w:rPr>
                <w:color w:val="000000"/>
              </w:rPr>
            </w:pPr>
            <w:r w:rsidRPr="000617B2">
              <w:rPr>
                <w:color w:val="000000"/>
              </w:rPr>
              <w:t>Central IT leadership (if outside the health department and if applicable)</w:t>
            </w:r>
          </w:p>
        </w:tc>
        <w:tc>
          <w:tcPr>
            <w:tcW w:w="4230" w:type="dxa"/>
          </w:tcPr>
          <w:p w:rsidR="00A01DBD" w:rsidRPr="000617B2" w:rsidRDefault="000617B2" w:rsidP="00A01DBD">
            <w:r w:rsidRPr="000617B2">
              <w:rPr>
                <w:color w:val="000000"/>
              </w:rPr>
              <w:t>Ensure procurement process and documents align with jurisdictional policies and standards; serve as a resource to the program. May or may not serve on the core team; that is, may be an oversight role only.</w:t>
            </w:r>
          </w:p>
        </w:tc>
      </w:tr>
      <w:tr w:rsidR="00A01DBD" w:rsidTr="005B071D">
        <w:tc>
          <w:tcPr>
            <w:tcW w:w="1908" w:type="dxa"/>
          </w:tcPr>
          <w:p w:rsidR="00A01DBD" w:rsidRPr="000617B2" w:rsidRDefault="00A01DBD" w:rsidP="00A01DBD"/>
          <w:p w:rsidR="00A01DBD" w:rsidRPr="000617B2" w:rsidRDefault="00A01DBD" w:rsidP="00A01DBD"/>
        </w:tc>
        <w:tc>
          <w:tcPr>
            <w:tcW w:w="2790" w:type="dxa"/>
          </w:tcPr>
          <w:p w:rsidR="00A01DBD" w:rsidRPr="000617B2" w:rsidRDefault="000617B2" w:rsidP="00A01DBD">
            <w:r w:rsidRPr="000617B2">
              <w:rPr>
                <w:color w:val="000000"/>
              </w:rPr>
              <w:t>Health department IT leadership (the CIO, informatics lead or other appropriate individual)</w:t>
            </w:r>
          </w:p>
        </w:tc>
        <w:tc>
          <w:tcPr>
            <w:tcW w:w="4230" w:type="dxa"/>
          </w:tcPr>
          <w:p w:rsidR="00A01DBD" w:rsidRPr="000617B2" w:rsidRDefault="000617B2" w:rsidP="00A01DBD">
            <w:r w:rsidRPr="000617B2">
              <w:rPr>
                <w:color w:val="000000"/>
              </w:rPr>
              <w:t>Help ensure that the IIS project fits well into the health department’s IT portfolio and informatics strategy. This may be distinct, but related to, the jurisdictional priorities and strategies as determined by central IT (see row above).</w:t>
            </w:r>
          </w:p>
        </w:tc>
      </w:tr>
      <w:tr w:rsidR="00A01DBD" w:rsidTr="005B071D">
        <w:tc>
          <w:tcPr>
            <w:tcW w:w="1908" w:type="dxa"/>
          </w:tcPr>
          <w:p w:rsidR="00A01DBD" w:rsidRPr="000617B2" w:rsidRDefault="00A01DBD" w:rsidP="00A01DBD"/>
          <w:p w:rsidR="00A01DBD" w:rsidRPr="000617B2" w:rsidRDefault="00A01DBD" w:rsidP="00A01DBD"/>
        </w:tc>
        <w:tc>
          <w:tcPr>
            <w:tcW w:w="2790" w:type="dxa"/>
          </w:tcPr>
          <w:p w:rsidR="00A01DBD" w:rsidRPr="000617B2" w:rsidRDefault="00A01DBD" w:rsidP="00A01DBD"/>
        </w:tc>
        <w:tc>
          <w:tcPr>
            <w:tcW w:w="4230" w:type="dxa"/>
          </w:tcPr>
          <w:p w:rsidR="00A01DBD" w:rsidRPr="000617B2" w:rsidRDefault="00A01DBD" w:rsidP="00A01DBD"/>
        </w:tc>
      </w:tr>
      <w:tr w:rsidR="00A01DBD" w:rsidTr="005B071D">
        <w:tc>
          <w:tcPr>
            <w:tcW w:w="1908" w:type="dxa"/>
          </w:tcPr>
          <w:p w:rsidR="00A01DBD" w:rsidRPr="000617B2" w:rsidRDefault="00A01DBD" w:rsidP="00A01DBD"/>
          <w:p w:rsidR="00A01DBD" w:rsidRPr="000617B2" w:rsidRDefault="00A01DBD" w:rsidP="00A01DBD"/>
        </w:tc>
        <w:tc>
          <w:tcPr>
            <w:tcW w:w="2790" w:type="dxa"/>
          </w:tcPr>
          <w:p w:rsidR="00A01DBD" w:rsidRPr="000617B2" w:rsidRDefault="00A01DBD" w:rsidP="00A01DBD"/>
        </w:tc>
        <w:tc>
          <w:tcPr>
            <w:tcW w:w="4230" w:type="dxa"/>
          </w:tcPr>
          <w:p w:rsidR="00A01DBD" w:rsidRPr="000617B2" w:rsidRDefault="00A01DBD" w:rsidP="00A01DBD"/>
        </w:tc>
      </w:tr>
      <w:tr w:rsidR="00A01DBD" w:rsidTr="005B071D">
        <w:tc>
          <w:tcPr>
            <w:tcW w:w="1908" w:type="dxa"/>
          </w:tcPr>
          <w:p w:rsidR="00A01DBD" w:rsidRPr="000617B2" w:rsidRDefault="00A01DBD" w:rsidP="00A01DBD"/>
          <w:p w:rsidR="00A01DBD" w:rsidRPr="000617B2" w:rsidRDefault="00A01DBD" w:rsidP="00A01DBD"/>
        </w:tc>
        <w:tc>
          <w:tcPr>
            <w:tcW w:w="2790" w:type="dxa"/>
          </w:tcPr>
          <w:p w:rsidR="00A01DBD" w:rsidRPr="000617B2" w:rsidRDefault="00A01DBD" w:rsidP="00A01DBD"/>
        </w:tc>
        <w:tc>
          <w:tcPr>
            <w:tcW w:w="4230" w:type="dxa"/>
          </w:tcPr>
          <w:p w:rsidR="00A01DBD" w:rsidRPr="000617B2" w:rsidRDefault="00A01DBD" w:rsidP="00A01DBD"/>
        </w:tc>
      </w:tr>
    </w:tbl>
    <w:p w:rsidR="009906F5" w:rsidRDefault="009906F5" w:rsidP="00E259AE">
      <w:pPr>
        <w:pStyle w:val="Heading1"/>
      </w:pPr>
      <w:bookmarkStart w:id="2" w:name="_2frmx3tmcmrt" w:colFirst="0" w:colLast="0"/>
      <w:bookmarkEnd w:id="2"/>
    </w:p>
    <w:sectPr w:rsidR="009906F5" w:rsidSect="00EE259A">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6F" w:rsidRDefault="00D4346F" w:rsidP="00A04CDA">
      <w:r>
        <w:separator/>
      </w:r>
    </w:p>
  </w:endnote>
  <w:endnote w:type="continuationSeparator" w:id="0">
    <w:p w:rsidR="00D4346F" w:rsidRDefault="00D4346F"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825980">
          <w:rPr>
            <w:noProof/>
          </w:rPr>
          <w:t>2</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3240"/>
    </w:tblGrid>
    <w:tr w:rsidR="00EA73BD" w:rsidTr="002476C0">
      <w:tc>
        <w:tcPr>
          <w:tcW w:w="5958" w:type="dxa"/>
        </w:tcPr>
        <w:p w:rsidR="00EA73BD" w:rsidRPr="00EA73BD" w:rsidRDefault="00EA73BD" w:rsidP="009A0666">
          <w:pPr>
            <w:tabs>
              <w:tab w:val="left" w:pos="1155"/>
            </w:tabs>
          </w:pPr>
          <w:r w:rsidRPr="004D5FA6">
            <w:rPr>
              <w:i/>
              <w:color w:val="666666"/>
            </w:rPr>
            <w:t xml:space="preserve">This resource was developed </w:t>
          </w:r>
          <w:r w:rsidR="009E6B06">
            <w:rPr>
              <w:i/>
              <w:color w:val="666666"/>
            </w:rPr>
            <w:t xml:space="preserve">by PHII </w:t>
          </w:r>
          <w:r w:rsidRPr="004D5FA6">
            <w:rPr>
              <w:i/>
              <w:color w:val="666666"/>
            </w:rPr>
            <w:t xml:space="preserve">as part of the IIS </w:t>
          </w:r>
          <w:r w:rsidR="00CA001A">
            <w:rPr>
              <w:i/>
              <w:color w:val="666666"/>
            </w:rPr>
            <w:t>Procurement</w:t>
          </w:r>
          <w:r w:rsidRPr="004D5FA6">
            <w:rPr>
              <w:i/>
              <w:color w:val="666666"/>
            </w:rPr>
            <w:t xml:space="preserve"> Toolkit, in partnership with AIRA and CDC and with financial support from CDC. Last updated M</w:t>
          </w:r>
          <w:r w:rsidR="009A0666">
            <w:rPr>
              <w:i/>
              <w:color w:val="666666"/>
            </w:rPr>
            <w:t>ay</w:t>
          </w:r>
          <w:r w:rsidRPr="004D5FA6">
            <w:rPr>
              <w:i/>
              <w:color w:val="666666"/>
            </w:rPr>
            <w:t xml:space="preserve"> </w:t>
          </w:r>
          <w:r w:rsidR="009A0666">
            <w:rPr>
              <w:i/>
              <w:color w:val="666666"/>
            </w:rPr>
            <w:t>7</w:t>
          </w:r>
          <w:r w:rsidRPr="004D5FA6">
            <w:rPr>
              <w:i/>
              <w:color w:val="666666"/>
            </w:rPr>
            <w:t xml:space="preserve">, </w:t>
          </w:r>
          <w:r w:rsidR="009A0666">
            <w:rPr>
              <w:i/>
              <w:color w:val="666666"/>
            </w:rPr>
            <w:t>2021</w:t>
          </w:r>
          <w:r w:rsidRPr="004D5FA6">
            <w:rPr>
              <w:i/>
              <w:color w:val="666666"/>
            </w:rPr>
            <w:t xml:space="preserve">. Questions, comments and suggestions are welcomed at </w:t>
          </w:r>
          <w:r w:rsidRPr="004D5FA6">
            <w:rPr>
              <w:b/>
              <w:i/>
              <w:color w:val="666666"/>
            </w:rPr>
            <w:t>phii.org/</w:t>
          </w:r>
          <w:proofErr w:type="spellStart"/>
          <w:r w:rsidRPr="004D5FA6">
            <w:rPr>
              <w:b/>
              <w:i/>
              <w:color w:val="666666"/>
            </w:rPr>
            <w:t>iiscontact</w:t>
          </w:r>
          <w:proofErr w:type="spellEnd"/>
          <w:r w:rsidRPr="004D5FA6">
            <w:rPr>
              <w:i/>
              <w:color w:val="666666"/>
            </w:rPr>
            <w:t>.</w:t>
          </w:r>
        </w:p>
      </w:tc>
      <w:tc>
        <w:tcPr>
          <w:tcW w:w="3240" w:type="dxa"/>
        </w:tcPr>
        <w:p w:rsidR="00EA73BD" w:rsidRDefault="00EA73BD" w:rsidP="002476C0">
          <w:pPr>
            <w:pStyle w:val="Footer"/>
            <w:spacing w:before="240" w:after="0"/>
            <w:jc w:val="right"/>
          </w:pPr>
          <w:r>
            <w:rPr>
              <w:noProof/>
            </w:rPr>
            <w:drawing>
              <wp:inline distT="0" distB="0" distL="0" distR="0" wp14:anchorId="5E7749D5" wp14:editId="2158522A">
                <wp:extent cx="1611374" cy="382642"/>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2"/>
                        </a:xfrm>
                        <a:prstGeom prst="rect">
                          <a:avLst/>
                        </a:prstGeom>
                      </pic:spPr>
                    </pic:pic>
                  </a:graphicData>
                </a:graphic>
              </wp:inline>
            </w:drawing>
          </w:r>
        </w:p>
        <w:p w:rsidR="00EA73BD" w:rsidRPr="00CA001A" w:rsidRDefault="002476C0" w:rsidP="002476C0">
          <w:pPr>
            <w:spacing w:before="160" w:after="0"/>
            <w:jc w:val="right"/>
            <w:rPr>
              <w:b/>
              <w:color w:val="0098A7"/>
              <w:sz w:val="20"/>
            </w:rPr>
          </w:pPr>
          <w:r>
            <w:rPr>
              <w:b/>
              <w:color w:val="0098A7"/>
              <w:sz w:val="20"/>
            </w:rPr>
            <w:t xml:space="preserve"> </w:t>
          </w:r>
          <w:r w:rsidR="00890B6E" w:rsidRPr="00CA001A">
            <w:rPr>
              <w:b/>
              <w:color w:val="0098A7"/>
              <w:sz w:val="20"/>
            </w:rPr>
            <w:t>phii.org/procurement</w:t>
          </w:r>
          <w:r w:rsidR="00EA73BD" w:rsidRPr="00CA001A">
            <w:rPr>
              <w:b/>
              <w:color w:val="0098A7"/>
              <w:sz w:val="20"/>
            </w:rPr>
            <w:t>-toolkit</w:t>
          </w:r>
        </w:p>
        <w:p w:rsidR="00EA73BD" w:rsidRDefault="00EA73BD" w:rsidP="002476C0">
          <w:pPr>
            <w:pStyle w:val="Footer"/>
            <w:spacing w:before="0" w:after="0"/>
            <w:jc w:val="right"/>
          </w:pPr>
        </w:p>
      </w:tc>
    </w:tr>
  </w:tbl>
  <w:p w:rsidR="00C64646" w:rsidRDefault="002476C0" w:rsidP="00EE259A">
    <w:pPr>
      <w:pStyle w:val="Footer"/>
      <w:spacing w:before="0" w:after="0"/>
      <w:jc w:val="right"/>
    </w:pPr>
    <w:r>
      <w:t xml:space="preserve"> </w:t>
    </w:r>
  </w:p>
  <w:p w:rsidR="00EE259A" w:rsidRDefault="00EE25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6F" w:rsidRDefault="00D4346F" w:rsidP="00A04CDA">
      <w:r>
        <w:separator/>
      </w:r>
    </w:p>
  </w:footnote>
  <w:footnote w:type="continuationSeparator" w:id="0">
    <w:p w:rsidR="00D4346F" w:rsidRDefault="00D4346F"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9"/>
      <w:gridCol w:w="911"/>
    </w:tblGrid>
    <w:tr w:rsidR="00EA73BD" w:rsidTr="00EA73BD">
      <w:tc>
        <w:tcPr>
          <w:tcW w:w="7938" w:type="dxa"/>
        </w:tcPr>
        <w:p w:rsidR="00EA73BD" w:rsidRPr="00EA73BD" w:rsidRDefault="00A01DBD" w:rsidP="00585E0B">
          <w:pPr>
            <w:spacing w:before="280" w:after="0"/>
            <w:ind w:right="187"/>
            <w:jc w:val="right"/>
            <w:rPr>
              <w:b/>
              <w:color w:val="3D85C6"/>
              <w:sz w:val="20"/>
            </w:rPr>
          </w:pPr>
          <w:r>
            <w:rPr>
              <w:i/>
              <w:color w:val="0098A7"/>
              <w:sz w:val="20"/>
            </w:rPr>
            <w:t xml:space="preserve">Worksheet: </w:t>
          </w:r>
          <w:r w:rsidR="00585E0B">
            <w:rPr>
              <w:i/>
              <w:color w:val="0098A7"/>
              <w:sz w:val="20"/>
            </w:rPr>
            <w:t>project sponsors</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Default="00EA73BD" w:rsidP="00EA73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4"/>
  </w:num>
  <w:num w:numId="3">
    <w:abstractNumId w:val="7"/>
  </w:num>
  <w:num w:numId="4">
    <w:abstractNumId w:val="2"/>
  </w:num>
  <w:num w:numId="5">
    <w:abstractNumId w:val="5"/>
  </w:num>
  <w:num w:numId="6">
    <w:abstractNumId w:val="3"/>
  </w:num>
  <w:num w:numId="7">
    <w:abstractNumId w:val="8"/>
  </w:num>
  <w:num w:numId="8">
    <w:abstractNumId w:val="10"/>
  </w:num>
  <w:num w:numId="9">
    <w:abstractNumId w:val="6"/>
  </w:num>
  <w:num w:numId="10">
    <w:abstractNumId w:val="9"/>
  </w:num>
  <w:num w:numId="11">
    <w:abstractNumId w:val="12"/>
  </w:num>
  <w:num w:numId="12">
    <w:abstractNumId w:val="0"/>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F5"/>
    <w:rsid w:val="000562E1"/>
    <w:rsid w:val="000617B2"/>
    <w:rsid w:val="0008131A"/>
    <w:rsid w:val="00085992"/>
    <w:rsid w:val="000912EF"/>
    <w:rsid w:val="00097BFB"/>
    <w:rsid w:val="000B7210"/>
    <w:rsid w:val="000D0B65"/>
    <w:rsid w:val="000F6B7E"/>
    <w:rsid w:val="00112C51"/>
    <w:rsid w:val="00121C2C"/>
    <w:rsid w:val="001A29BE"/>
    <w:rsid w:val="001B4347"/>
    <w:rsid w:val="001F66F6"/>
    <w:rsid w:val="00215B92"/>
    <w:rsid w:val="00245843"/>
    <w:rsid w:val="002476C0"/>
    <w:rsid w:val="00270918"/>
    <w:rsid w:val="00283DBC"/>
    <w:rsid w:val="00292473"/>
    <w:rsid w:val="002E67C7"/>
    <w:rsid w:val="00322BDB"/>
    <w:rsid w:val="0032765F"/>
    <w:rsid w:val="00336DC7"/>
    <w:rsid w:val="003662EE"/>
    <w:rsid w:val="0037611A"/>
    <w:rsid w:val="003843D4"/>
    <w:rsid w:val="003A73DA"/>
    <w:rsid w:val="003B7AD3"/>
    <w:rsid w:val="003C1849"/>
    <w:rsid w:val="003C4058"/>
    <w:rsid w:val="003C70EF"/>
    <w:rsid w:val="003F71FB"/>
    <w:rsid w:val="004267F3"/>
    <w:rsid w:val="0043390F"/>
    <w:rsid w:val="004B79CC"/>
    <w:rsid w:val="004C3817"/>
    <w:rsid w:val="004D5FA6"/>
    <w:rsid w:val="004F7589"/>
    <w:rsid w:val="005007B0"/>
    <w:rsid w:val="005033A0"/>
    <w:rsid w:val="00503E36"/>
    <w:rsid w:val="00585E0B"/>
    <w:rsid w:val="005936B9"/>
    <w:rsid w:val="005A61CE"/>
    <w:rsid w:val="005B071D"/>
    <w:rsid w:val="006107B0"/>
    <w:rsid w:val="00631210"/>
    <w:rsid w:val="00682B42"/>
    <w:rsid w:val="006A0EC7"/>
    <w:rsid w:val="006C4F7A"/>
    <w:rsid w:val="006D582A"/>
    <w:rsid w:val="006F01DE"/>
    <w:rsid w:val="006F3919"/>
    <w:rsid w:val="007006E8"/>
    <w:rsid w:val="0070218B"/>
    <w:rsid w:val="007B5C78"/>
    <w:rsid w:val="007C34FD"/>
    <w:rsid w:val="007D19D5"/>
    <w:rsid w:val="007D3DA8"/>
    <w:rsid w:val="007E7070"/>
    <w:rsid w:val="008076B4"/>
    <w:rsid w:val="0082467D"/>
    <w:rsid w:val="00825980"/>
    <w:rsid w:val="00827522"/>
    <w:rsid w:val="00890B6E"/>
    <w:rsid w:val="008D6A72"/>
    <w:rsid w:val="008F1714"/>
    <w:rsid w:val="008F5F83"/>
    <w:rsid w:val="00902A01"/>
    <w:rsid w:val="00937870"/>
    <w:rsid w:val="00946CA6"/>
    <w:rsid w:val="009705E6"/>
    <w:rsid w:val="00983299"/>
    <w:rsid w:val="009906F5"/>
    <w:rsid w:val="009A0666"/>
    <w:rsid w:val="009E6B06"/>
    <w:rsid w:val="00A01DBD"/>
    <w:rsid w:val="00A04CDA"/>
    <w:rsid w:val="00A0769E"/>
    <w:rsid w:val="00A30C12"/>
    <w:rsid w:val="00A65C7F"/>
    <w:rsid w:val="00A6653D"/>
    <w:rsid w:val="00A7688D"/>
    <w:rsid w:val="00A902C3"/>
    <w:rsid w:val="00AB31B0"/>
    <w:rsid w:val="00B105A6"/>
    <w:rsid w:val="00B420B7"/>
    <w:rsid w:val="00BA2A49"/>
    <w:rsid w:val="00BF6C40"/>
    <w:rsid w:val="00C17969"/>
    <w:rsid w:val="00C17B5C"/>
    <w:rsid w:val="00C2151C"/>
    <w:rsid w:val="00C37DFE"/>
    <w:rsid w:val="00C5584B"/>
    <w:rsid w:val="00C64646"/>
    <w:rsid w:val="00CA001A"/>
    <w:rsid w:val="00CE295D"/>
    <w:rsid w:val="00D22B74"/>
    <w:rsid w:val="00D2632E"/>
    <w:rsid w:val="00D3298E"/>
    <w:rsid w:val="00D4346F"/>
    <w:rsid w:val="00D557A5"/>
    <w:rsid w:val="00DB0715"/>
    <w:rsid w:val="00DE54E2"/>
    <w:rsid w:val="00E259AE"/>
    <w:rsid w:val="00E4321B"/>
    <w:rsid w:val="00E85DB8"/>
    <w:rsid w:val="00EA73BD"/>
    <w:rsid w:val="00EB4A98"/>
    <w:rsid w:val="00EB4E14"/>
    <w:rsid w:val="00EC3EBE"/>
    <w:rsid w:val="00EE259A"/>
    <w:rsid w:val="00EE588C"/>
    <w:rsid w:val="00EF1D40"/>
    <w:rsid w:val="00EF1DBE"/>
    <w:rsid w:val="00EF4CB9"/>
    <w:rsid w:val="00F174F4"/>
    <w:rsid w:val="00F27549"/>
    <w:rsid w:val="00F50BEA"/>
    <w:rsid w:val="00F81827"/>
    <w:rsid w:val="00F96AB3"/>
    <w:rsid w:val="00FE3622"/>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0482F"/>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8</cp:revision>
  <dcterms:created xsi:type="dcterms:W3CDTF">2021-05-07T20:46:00Z</dcterms:created>
  <dcterms:modified xsi:type="dcterms:W3CDTF">2021-05-07T20:53:00Z</dcterms:modified>
</cp:coreProperties>
</file>