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5" w:rsidRPr="00A7688D" w:rsidRDefault="00FE3622" w:rsidP="00215B92">
      <w:pPr>
        <w:pStyle w:val="Title"/>
        <w:rPr>
          <w:color w:val="0098A7"/>
        </w:rPr>
      </w:pPr>
      <w:r>
        <w:rPr>
          <w:color w:val="0098A7"/>
        </w:rPr>
        <w:t xml:space="preserve">Assembling the Team: </w:t>
      </w:r>
      <w:r w:rsidR="000D32B9">
        <w:rPr>
          <w:color w:val="0098A7"/>
        </w:rPr>
        <w:t>Extended Project Team</w:t>
      </w:r>
      <w:r>
        <w:rPr>
          <w:color w:val="0098A7"/>
        </w:rPr>
        <w:t xml:space="preserve"> </w:t>
      </w:r>
    </w:p>
    <w:bookmarkStart w:id="0" w:name="_ytii46ix4k66" w:colFirst="0" w:colLast="0"/>
    <w:bookmarkEnd w:id="0"/>
    <w:p w:rsidR="005B071D" w:rsidRPr="005B071D" w:rsidRDefault="009A0666" w:rsidP="00322BDB">
      <w:pPr>
        <w:pStyle w:val="Subtitle"/>
        <w:spacing w:after="120"/>
        <w:rPr>
          <w:color w:val="0098A7"/>
        </w:rPr>
      </w:pPr>
      <w:r w:rsidRPr="002E67C7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4D2D3" wp14:editId="6D088EA3">
                <wp:simplePos x="0" y="0"/>
                <wp:positionH relativeFrom="column">
                  <wp:posOffset>1924050</wp:posOffset>
                </wp:positionH>
                <wp:positionV relativeFrom="paragraph">
                  <wp:posOffset>257175</wp:posOffset>
                </wp:positionV>
                <wp:extent cx="723016" cy="644056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6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67C7" w:rsidRDefault="002E67C7" w:rsidP="002E67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3DB47" wp14:editId="4F903BE9">
                                  <wp:extent cx="492981" cy="492981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lanning icon- whit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51" cy="499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4D2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1.5pt;margin-top:20.25pt;width:56.95pt;height:5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" filled="f" stroked="f" strokeweight=".5pt">
                <v:textbox>
                  <w:txbxContent>
                    <w:p w:rsidR="002E67C7" w:rsidRDefault="002E67C7" w:rsidP="002E67C7">
                      <w:r>
                        <w:rPr>
                          <w:noProof/>
                        </w:rPr>
                        <w:drawing>
                          <wp:inline distT="0" distB="0" distL="0" distR="0" wp14:anchorId="79D3DB47" wp14:editId="4F903BE9">
                            <wp:extent cx="492981" cy="492981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lanning icon- whit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51" cy="499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67C7" w:rsidRPr="002E67C7">
        <w:rPr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4ABF1" wp14:editId="07F50875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5462270" cy="508635"/>
                <wp:effectExtent l="0" t="0" r="508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508635"/>
                        </a:xfrm>
                        <a:prstGeom prst="rect">
                          <a:avLst/>
                        </a:prstGeom>
                        <a:solidFill>
                          <a:srgbClr val="0098A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7C7" w:rsidRPr="0033796E" w:rsidRDefault="002E67C7" w:rsidP="002E67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3796E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ABF1" id="Text Box 2" o:spid="_x0000_s1027" type="#_x0000_t202" style="position:absolute;left:0;text-align:left;margin-left:0;margin-top:30.5pt;width:430.1pt;height:40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" fillcolor="#0098a7" stroked="f">
                <v:textbox>
                  <w:txbxContent>
                    <w:p w:rsidR="002E67C7" w:rsidRPr="0033796E" w:rsidRDefault="002E67C7" w:rsidP="002E67C7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  </w:t>
                      </w:r>
                      <w:r w:rsidRPr="0033796E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Planning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2C51">
        <w:rPr>
          <w:color w:val="0098A7"/>
        </w:rPr>
        <w:t>An interactive worksheet</w:t>
      </w:r>
    </w:p>
    <w:p w:rsidR="009A0666" w:rsidRDefault="009A0666" w:rsidP="009A066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0D32B9" w:rsidRDefault="000D32B9" w:rsidP="00FE362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541AE6">
        <w:t xml:space="preserve">The </w:t>
      </w:r>
      <w:r>
        <w:t>e</w:t>
      </w:r>
      <w:r w:rsidRPr="00541AE6">
        <w:t xml:space="preserve">xtended </w:t>
      </w:r>
      <w:r>
        <w:t>p</w:t>
      </w:r>
      <w:r w:rsidRPr="00541AE6">
        <w:t xml:space="preserve">roject </w:t>
      </w:r>
      <w:r>
        <w:t>t</w:t>
      </w:r>
      <w:r w:rsidRPr="00541AE6">
        <w:t xml:space="preserve">eam provides the content expertise needed at various points in the procurement process; that is, they are </w:t>
      </w:r>
      <w:r>
        <w:t xml:space="preserve">likely </w:t>
      </w:r>
      <w:r w:rsidRPr="00541AE6">
        <w:t xml:space="preserve">not required </w:t>
      </w:r>
      <w:r>
        <w:t xml:space="preserve">for every step in the process (if so, consider adding them to the core team). The broad expertise available through the extended team helps ensure the system and/or support services being procured fit the needs of the immunization program well. The type of expertise needed will depend in large part on the nature of the procurement; for example, broad expertise is much more critical when procuring a new IIS system than when renewing a maintenance and support contract. </w:t>
      </w:r>
      <w:r w:rsidRPr="007A52BE">
        <w:rPr>
          <w:i/>
          <w:color w:val="000000"/>
        </w:rPr>
        <w:t xml:space="preserve"> </w:t>
      </w:r>
    </w:p>
    <w:p w:rsidR="00FE3622" w:rsidRPr="005934F0" w:rsidRDefault="000D32B9" w:rsidP="00FE362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7A52BE">
        <w:rPr>
          <w:i/>
          <w:color w:val="000000"/>
        </w:rPr>
        <w:t>The examples provided are illustrative only</w:t>
      </w:r>
      <w:r>
        <w:rPr>
          <w:i/>
          <w:color w:val="000000"/>
        </w:rPr>
        <w:t>, using a large migration project as an example. Adapt</w:t>
      </w:r>
      <w:r w:rsidRPr="005934F0">
        <w:rPr>
          <w:i/>
          <w:color w:val="000000"/>
        </w:rPr>
        <w:t xml:space="preserve"> the roles and description as needed to fit your circumstances and needs.</w:t>
      </w:r>
    </w:p>
    <w:p w:rsidR="008D6A72" w:rsidRDefault="008D6A72" w:rsidP="009A0666">
      <w:pPr>
        <w:pStyle w:val="Heading2"/>
      </w:pPr>
    </w:p>
    <w:p w:rsidR="0008131A" w:rsidRDefault="0008131A" w:rsidP="00A04CDA"/>
    <w:p w:rsidR="00EA73BD" w:rsidRDefault="00EA73BD" w:rsidP="00A04CDA"/>
    <w:p w:rsidR="008076B4" w:rsidRDefault="008076B4" w:rsidP="00A04CDA"/>
    <w:p w:rsidR="004D5FA6" w:rsidRPr="004D5FA6" w:rsidRDefault="004D5FA6" w:rsidP="004D5FA6"/>
    <w:p w:rsidR="0008131A" w:rsidRDefault="0008131A" w:rsidP="00A04CDA">
      <w:pPr>
        <w:rPr>
          <w:color w:val="666666"/>
        </w:rPr>
      </w:pPr>
      <w:r>
        <w:br w:type="page"/>
      </w:r>
    </w:p>
    <w:p w:rsidR="00A04CDA" w:rsidRDefault="00F174F4" w:rsidP="00F174F4">
      <w:pPr>
        <w:pStyle w:val="Heading1"/>
      </w:pPr>
      <w:r>
        <w:rPr>
          <w:color w:val="0098A7"/>
        </w:rPr>
        <w:lastRenderedPageBreak/>
        <w:t xml:space="preserve">Worksheet: </w:t>
      </w:r>
      <w:r w:rsidR="00480CEF">
        <w:rPr>
          <w:color w:val="0098A7"/>
        </w:rPr>
        <w:t>extended project team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1795"/>
        <w:gridCol w:w="2430"/>
        <w:gridCol w:w="4703"/>
      </w:tblGrid>
      <w:tr w:rsidR="00A04CDA" w:rsidTr="00017D5B">
        <w:tc>
          <w:tcPr>
            <w:tcW w:w="1795" w:type="dxa"/>
            <w:shd w:val="clear" w:color="auto" w:fill="0098A7"/>
          </w:tcPr>
          <w:p w:rsidR="00A04CDA" w:rsidRPr="007B5C78" w:rsidRDefault="00F174F4" w:rsidP="00A04CDA">
            <w:pPr>
              <w:pStyle w:val="Tabletext"/>
              <w:rPr>
                <w:b/>
                <w:color w:val="FFFFFF" w:themeColor="background1"/>
              </w:rPr>
            </w:pPr>
            <w:r w:rsidRPr="00F174F4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430" w:type="dxa"/>
            <w:shd w:val="clear" w:color="auto" w:fill="0098A7"/>
          </w:tcPr>
          <w:p w:rsidR="00A04CDA" w:rsidRPr="007B5C78" w:rsidRDefault="00A01DBD" w:rsidP="00A04CDA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Role/t</w:t>
            </w:r>
            <w:r w:rsidR="00F174F4">
              <w:rPr>
                <w:b/>
                <w:color w:val="FFFFFF" w:themeColor="background1"/>
              </w:rPr>
              <w:t>itle</w:t>
            </w:r>
          </w:p>
        </w:tc>
        <w:tc>
          <w:tcPr>
            <w:tcW w:w="4703" w:type="dxa"/>
            <w:shd w:val="clear" w:color="auto" w:fill="0098A7"/>
          </w:tcPr>
          <w:p w:rsidR="00A04CDA" w:rsidRPr="007B5C78" w:rsidRDefault="00480CEF" w:rsidP="00480CEF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Specific role</w:t>
            </w:r>
            <w:r w:rsidR="00A01DBD">
              <w:rPr>
                <w:b/>
                <w:color w:val="FFFFFF" w:themeColor="background1"/>
              </w:rPr>
              <w:t>(s)</w:t>
            </w:r>
            <w:r w:rsidR="00825980">
              <w:rPr>
                <w:b/>
                <w:color w:val="FFFFFF" w:themeColor="background1"/>
              </w:rPr>
              <w:t xml:space="preserve"> </w:t>
            </w:r>
          </w:p>
        </w:tc>
      </w:tr>
      <w:tr w:rsidR="00A04CDA" w:rsidTr="00017D5B">
        <w:tc>
          <w:tcPr>
            <w:tcW w:w="1795" w:type="dxa"/>
          </w:tcPr>
          <w:p w:rsidR="00A04CDA" w:rsidRPr="00017D5B" w:rsidRDefault="00A04CDA" w:rsidP="00A04CDA"/>
          <w:p w:rsidR="00F174F4" w:rsidRPr="00017D5B" w:rsidRDefault="00F174F4" w:rsidP="00A04CDA"/>
        </w:tc>
        <w:tc>
          <w:tcPr>
            <w:tcW w:w="2430" w:type="dxa"/>
          </w:tcPr>
          <w:p w:rsidR="00A04CDA" w:rsidRPr="00017D5B" w:rsidRDefault="00EA57F8" w:rsidP="00A04CDA">
            <w:r w:rsidRPr="00017D5B">
              <w:rPr>
                <w:color w:val="000000"/>
              </w:rPr>
              <w:t>Procurement staff</w:t>
            </w:r>
          </w:p>
        </w:tc>
        <w:tc>
          <w:tcPr>
            <w:tcW w:w="4703" w:type="dxa"/>
          </w:tcPr>
          <w:p w:rsidR="00A04CDA" w:rsidRPr="00017D5B" w:rsidRDefault="00EA57F8" w:rsidP="00A01DBD">
            <w:pPr>
              <w:spacing w:before="60" w:after="60"/>
              <w:rPr>
                <w:color w:val="000000"/>
              </w:rPr>
            </w:pPr>
            <w:r w:rsidRPr="00017D5B">
              <w:rPr>
                <w:color w:val="000000"/>
              </w:rPr>
              <w:t xml:space="preserve">Ensure procurement process and documents align with jurisdictional procurement policies and standards; serve as a resource to the program. May serve on the core team during the early/research phase of a procurement project.  </w:t>
            </w:r>
          </w:p>
        </w:tc>
      </w:tr>
      <w:tr w:rsidR="00EA57F8" w:rsidTr="00017D5B">
        <w:tc>
          <w:tcPr>
            <w:tcW w:w="1795" w:type="dxa"/>
          </w:tcPr>
          <w:p w:rsidR="00EA57F8" w:rsidRPr="00017D5B" w:rsidRDefault="00EA57F8" w:rsidP="00EA57F8"/>
          <w:p w:rsidR="00EA57F8" w:rsidRPr="00017D5B" w:rsidRDefault="00EA57F8" w:rsidP="00EA57F8"/>
        </w:tc>
        <w:tc>
          <w:tcPr>
            <w:tcW w:w="2430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Help desk staff</w:t>
            </w:r>
          </w:p>
        </w:tc>
        <w:tc>
          <w:tcPr>
            <w:tcW w:w="4703" w:type="dxa"/>
          </w:tcPr>
          <w:p w:rsidR="00EA57F8" w:rsidRPr="00017D5B" w:rsidRDefault="00EA57F8" w:rsidP="00EA57F8">
            <w:pPr>
              <w:spacing w:before="60" w:after="60"/>
              <w:rPr>
                <w:color w:val="000000"/>
              </w:rPr>
            </w:pPr>
            <w:r w:rsidRPr="00017D5B">
              <w:rPr>
                <w:color w:val="000000"/>
              </w:rPr>
              <w:t>Help define the parameters for 1</w:t>
            </w:r>
            <w:r w:rsidRPr="00017D5B">
              <w:rPr>
                <w:color w:val="000000"/>
                <w:vertAlign w:val="superscript"/>
              </w:rPr>
              <w:t>st</w:t>
            </w:r>
            <w:r w:rsidRPr="00017D5B">
              <w:rPr>
                <w:color w:val="000000"/>
              </w:rPr>
              <w:t>/2</w:t>
            </w:r>
            <w:r w:rsidRPr="00017D5B">
              <w:rPr>
                <w:color w:val="000000"/>
                <w:vertAlign w:val="superscript"/>
              </w:rPr>
              <w:t>nd</w:t>
            </w:r>
            <w:r w:rsidRPr="00017D5B">
              <w:rPr>
                <w:color w:val="000000"/>
              </w:rPr>
              <w:t>/3</w:t>
            </w:r>
            <w:r w:rsidRPr="00017D5B">
              <w:rPr>
                <w:color w:val="000000"/>
                <w:vertAlign w:val="superscript"/>
              </w:rPr>
              <w:t>rd</w:t>
            </w:r>
            <w:r w:rsidRPr="00017D5B">
              <w:rPr>
                <w:color w:val="000000"/>
              </w:rPr>
              <w:t>-tier help desk roles between program and vendor; provide input on common support needs from users that might be addressed more proactively.</w:t>
            </w:r>
          </w:p>
        </w:tc>
      </w:tr>
      <w:tr w:rsidR="00EA57F8" w:rsidTr="00017D5B">
        <w:tc>
          <w:tcPr>
            <w:tcW w:w="1795" w:type="dxa"/>
          </w:tcPr>
          <w:p w:rsidR="00EA57F8" w:rsidRPr="00017D5B" w:rsidRDefault="00EA57F8" w:rsidP="00EA57F8"/>
          <w:p w:rsidR="00EA57F8" w:rsidRPr="00017D5B" w:rsidRDefault="00EA57F8" w:rsidP="00EA57F8"/>
        </w:tc>
        <w:tc>
          <w:tcPr>
            <w:tcW w:w="2430" w:type="dxa"/>
          </w:tcPr>
          <w:p w:rsidR="00EA57F8" w:rsidRPr="00017D5B" w:rsidRDefault="00EA57F8" w:rsidP="00EA57F8">
            <w:pPr>
              <w:spacing w:before="60" w:after="60"/>
              <w:rPr>
                <w:color w:val="000000"/>
              </w:rPr>
            </w:pPr>
            <w:r w:rsidRPr="00017D5B">
              <w:rPr>
                <w:color w:val="000000"/>
              </w:rPr>
              <w:t>IIS training staff</w:t>
            </w:r>
          </w:p>
        </w:tc>
        <w:tc>
          <w:tcPr>
            <w:tcW w:w="4703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Help to bring usability and “trainability” perspective to defining needs and requirements. Can also be invaluable during user acceptance testing.</w:t>
            </w:r>
          </w:p>
        </w:tc>
      </w:tr>
      <w:tr w:rsidR="00EA57F8" w:rsidTr="00017D5B">
        <w:tc>
          <w:tcPr>
            <w:tcW w:w="1795" w:type="dxa"/>
          </w:tcPr>
          <w:p w:rsidR="00EA57F8" w:rsidRPr="00017D5B" w:rsidRDefault="00EA57F8" w:rsidP="00EA57F8"/>
          <w:p w:rsidR="00EA57F8" w:rsidRPr="00017D5B" w:rsidRDefault="00EA57F8" w:rsidP="00EA57F8"/>
        </w:tc>
        <w:tc>
          <w:tcPr>
            <w:tcW w:w="2430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VFC staff</w:t>
            </w:r>
          </w:p>
        </w:tc>
        <w:tc>
          <w:tcPr>
            <w:tcW w:w="4703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Ensure the needs of the VFC program in terms of IIS support are well understood.</w:t>
            </w:r>
          </w:p>
        </w:tc>
      </w:tr>
      <w:tr w:rsidR="00EA57F8" w:rsidTr="00017D5B">
        <w:tc>
          <w:tcPr>
            <w:tcW w:w="1795" w:type="dxa"/>
          </w:tcPr>
          <w:p w:rsidR="00EA57F8" w:rsidRPr="00017D5B" w:rsidRDefault="00EA57F8" w:rsidP="00EA57F8"/>
          <w:p w:rsidR="00EA57F8" w:rsidRPr="00017D5B" w:rsidRDefault="00EA57F8" w:rsidP="00EA57F8"/>
        </w:tc>
        <w:tc>
          <w:tcPr>
            <w:tcW w:w="2430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AFIX/IQIP staff</w:t>
            </w:r>
          </w:p>
        </w:tc>
        <w:tc>
          <w:tcPr>
            <w:tcW w:w="4703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Ensure the needs of the AFIX program in terms of IIS support are well understood.</w:t>
            </w:r>
          </w:p>
        </w:tc>
      </w:tr>
      <w:tr w:rsidR="00EA57F8" w:rsidTr="00017D5B">
        <w:tc>
          <w:tcPr>
            <w:tcW w:w="1795" w:type="dxa"/>
          </w:tcPr>
          <w:p w:rsidR="00EA57F8" w:rsidRPr="00017D5B" w:rsidRDefault="00EA57F8" w:rsidP="00EA57F8"/>
          <w:p w:rsidR="00EA57F8" w:rsidRPr="00017D5B" w:rsidRDefault="00EA57F8" w:rsidP="00EA57F8"/>
        </w:tc>
        <w:tc>
          <w:tcPr>
            <w:tcW w:w="2430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Regional immunization staff (if applicable)</w:t>
            </w:r>
          </w:p>
        </w:tc>
        <w:tc>
          <w:tcPr>
            <w:tcW w:w="4703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Provide input on common support needs from users that might be addressed more proactively.</w:t>
            </w:r>
          </w:p>
        </w:tc>
      </w:tr>
      <w:tr w:rsidR="00EA57F8" w:rsidTr="00017D5B">
        <w:tc>
          <w:tcPr>
            <w:tcW w:w="1795" w:type="dxa"/>
          </w:tcPr>
          <w:p w:rsidR="00EA57F8" w:rsidRPr="00017D5B" w:rsidRDefault="00EA57F8" w:rsidP="00EA57F8"/>
          <w:p w:rsidR="00EA57F8" w:rsidRPr="00017D5B" w:rsidRDefault="00EA57F8" w:rsidP="00EA57F8"/>
        </w:tc>
        <w:tc>
          <w:tcPr>
            <w:tcW w:w="2430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Communication staff</w:t>
            </w:r>
          </w:p>
        </w:tc>
        <w:tc>
          <w:tcPr>
            <w:tcW w:w="4703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Ensure clear and unambiguous communications throughout the procurement process.</w:t>
            </w:r>
          </w:p>
        </w:tc>
      </w:tr>
      <w:tr w:rsidR="00EA57F8" w:rsidTr="00017D5B">
        <w:tc>
          <w:tcPr>
            <w:tcW w:w="1795" w:type="dxa"/>
          </w:tcPr>
          <w:p w:rsidR="00EA57F8" w:rsidRPr="00017D5B" w:rsidRDefault="00EA57F8" w:rsidP="00EA57F8"/>
        </w:tc>
        <w:tc>
          <w:tcPr>
            <w:tcW w:w="2430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Local health department immunization staff</w:t>
            </w:r>
          </w:p>
        </w:tc>
        <w:tc>
          <w:tcPr>
            <w:tcW w:w="4703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Provide input on requirements that support local health department immunization activities.</w:t>
            </w:r>
          </w:p>
        </w:tc>
      </w:tr>
      <w:tr w:rsidR="00EA57F8" w:rsidTr="00017D5B">
        <w:tc>
          <w:tcPr>
            <w:tcW w:w="1795" w:type="dxa"/>
          </w:tcPr>
          <w:p w:rsidR="00EA57F8" w:rsidRPr="00017D5B" w:rsidRDefault="00EA57F8" w:rsidP="00EA57F8"/>
        </w:tc>
        <w:tc>
          <w:tcPr>
            <w:tcW w:w="2430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Stakeholder representatives</w:t>
            </w:r>
          </w:p>
        </w:tc>
        <w:tc>
          <w:tcPr>
            <w:tcW w:w="4703" w:type="dxa"/>
          </w:tcPr>
          <w:p w:rsidR="00EA57F8" w:rsidRPr="00017D5B" w:rsidRDefault="00EA57F8" w:rsidP="00EA57F8">
            <w:r w:rsidRPr="00017D5B">
              <w:rPr>
                <w:color w:val="000000"/>
              </w:rPr>
              <w:t>It may be advantageous to involve various stakeholder representatives (e.g.</w:t>
            </w:r>
            <w:r w:rsidRPr="00017D5B">
              <w:rPr>
                <w:i/>
                <w:color w:val="000000"/>
              </w:rPr>
              <w:t xml:space="preserve">, </w:t>
            </w:r>
            <w:r w:rsidRPr="00017D5B">
              <w:rPr>
                <w:color w:val="000000"/>
              </w:rPr>
              <w:t>clinicians, professional societies, school/child care representatives) as this will ultimately generate more natural buy-in and potentially improve the quality of key decisions.</w:t>
            </w:r>
          </w:p>
        </w:tc>
      </w:tr>
    </w:tbl>
    <w:p w:rsidR="009906F5" w:rsidRDefault="009906F5" w:rsidP="00E259AE">
      <w:pPr>
        <w:pStyle w:val="Heading1"/>
      </w:pPr>
      <w:bookmarkStart w:id="1" w:name="_2frmx3tmcmrt" w:colFirst="0" w:colLast="0"/>
      <w:bookmarkStart w:id="2" w:name="_GoBack"/>
      <w:bookmarkEnd w:id="1"/>
      <w:bookmarkEnd w:id="2"/>
    </w:p>
    <w:sectPr w:rsidR="009906F5" w:rsidSect="00EE25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20" w:footer="3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22C" w:rsidRDefault="0086622C" w:rsidP="00A04CDA">
      <w:r>
        <w:separator/>
      </w:r>
    </w:p>
  </w:endnote>
  <w:endnote w:type="continuationSeparator" w:id="0">
    <w:p w:rsidR="0086622C" w:rsidRDefault="0086622C" w:rsidP="00A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5" w:rsidRDefault="005033A0" w:rsidP="00A04CDA">
    <w:r>
      <w:fldChar w:fldCharType="begin"/>
    </w:r>
    <w:r>
      <w:instrText>PAGE</w:instrText>
    </w:r>
    <w:r>
      <w:fldChar w:fldCharType="end"/>
    </w:r>
  </w:p>
  <w:p w:rsidR="009906F5" w:rsidRDefault="009906F5" w:rsidP="00A04CD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858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06E8" w:rsidRDefault="007006E8" w:rsidP="00C64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D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6F5" w:rsidRDefault="009906F5" w:rsidP="00A04CD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8"/>
      <w:gridCol w:w="3240"/>
    </w:tblGrid>
    <w:tr w:rsidR="00EA73BD" w:rsidTr="002476C0">
      <w:tc>
        <w:tcPr>
          <w:tcW w:w="5958" w:type="dxa"/>
        </w:tcPr>
        <w:p w:rsidR="00EA73BD" w:rsidRPr="00EA73BD" w:rsidRDefault="00EA73BD" w:rsidP="009A0666">
          <w:pPr>
            <w:tabs>
              <w:tab w:val="left" w:pos="1155"/>
            </w:tabs>
          </w:pPr>
          <w:r w:rsidRPr="004D5FA6">
            <w:rPr>
              <w:i/>
              <w:color w:val="666666"/>
            </w:rPr>
            <w:t xml:space="preserve">This resource was developed </w:t>
          </w:r>
          <w:r w:rsidR="009E6B06">
            <w:rPr>
              <w:i/>
              <w:color w:val="666666"/>
            </w:rPr>
            <w:t xml:space="preserve">by PHII </w:t>
          </w:r>
          <w:r w:rsidRPr="004D5FA6">
            <w:rPr>
              <w:i/>
              <w:color w:val="666666"/>
            </w:rPr>
            <w:t xml:space="preserve">as part of the IIS </w:t>
          </w:r>
          <w:r w:rsidR="00CA001A">
            <w:rPr>
              <w:i/>
              <w:color w:val="666666"/>
            </w:rPr>
            <w:t>Procurement</w:t>
          </w:r>
          <w:r w:rsidRPr="004D5FA6">
            <w:rPr>
              <w:i/>
              <w:color w:val="666666"/>
            </w:rPr>
            <w:t xml:space="preserve"> Toolkit, in partnership with AIRA and CDC and with financial support from CDC. Last updated M</w:t>
          </w:r>
          <w:r w:rsidR="009A0666">
            <w:rPr>
              <w:i/>
              <w:color w:val="666666"/>
            </w:rPr>
            <w:t>ay</w:t>
          </w:r>
          <w:r w:rsidRPr="004D5FA6">
            <w:rPr>
              <w:i/>
              <w:color w:val="666666"/>
            </w:rPr>
            <w:t xml:space="preserve"> </w:t>
          </w:r>
          <w:r w:rsidR="009A0666">
            <w:rPr>
              <w:i/>
              <w:color w:val="666666"/>
            </w:rPr>
            <w:t>7</w:t>
          </w:r>
          <w:r w:rsidRPr="004D5FA6">
            <w:rPr>
              <w:i/>
              <w:color w:val="666666"/>
            </w:rPr>
            <w:t xml:space="preserve">, </w:t>
          </w:r>
          <w:r w:rsidR="009A0666">
            <w:rPr>
              <w:i/>
              <w:color w:val="666666"/>
            </w:rPr>
            <w:t>2021</w:t>
          </w:r>
          <w:r w:rsidRPr="004D5FA6">
            <w:rPr>
              <w:i/>
              <w:color w:val="666666"/>
            </w:rPr>
            <w:t xml:space="preserve">. Questions, comments and suggestions are welcomed at </w:t>
          </w:r>
          <w:r w:rsidRPr="004D5FA6">
            <w:rPr>
              <w:b/>
              <w:i/>
              <w:color w:val="666666"/>
            </w:rPr>
            <w:t>phii.org/</w:t>
          </w:r>
          <w:proofErr w:type="spellStart"/>
          <w:r w:rsidRPr="004D5FA6">
            <w:rPr>
              <w:b/>
              <w:i/>
              <w:color w:val="666666"/>
            </w:rPr>
            <w:t>iiscontact</w:t>
          </w:r>
          <w:proofErr w:type="spellEnd"/>
          <w:r w:rsidRPr="004D5FA6">
            <w:rPr>
              <w:i/>
              <w:color w:val="666666"/>
            </w:rPr>
            <w:t>.</w:t>
          </w:r>
        </w:p>
      </w:tc>
      <w:tc>
        <w:tcPr>
          <w:tcW w:w="3240" w:type="dxa"/>
        </w:tcPr>
        <w:p w:rsidR="00EA73BD" w:rsidRDefault="00EA73BD" w:rsidP="002476C0">
          <w:pPr>
            <w:pStyle w:val="Footer"/>
            <w:spacing w:before="240" w:after="0"/>
            <w:jc w:val="right"/>
          </w:pPr>
          <w:r>
            <w:rPr>
              <w:noProof/>
            </w:rPr>
            <w:drawing>
              <wp:inline distT="0" distB="0" distL="0" distR="0" wp14:anchorId="5E7749D5" wp14:editId="2158522A">
                <wp:extent cx="1611374" cy="382642"/>
                <wp:effectExtent l="0" t="0" r="825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IS migration strategy toolki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374" cy="382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A73BD" w:rsidRPr="00CA001A" w:rsidRDefault="002476C0" w:rsidP="002476C0">
          <w:pPr>
            <w:spacing w:before="160" w:after="0"/>
            <w:jc w:val="right"/>
            <w:rPr>
              <w:b/>
              <w:color w:val="0098A7"/>
              <w:sz w:val="20"/>
            </w:rPr>
          </w:pPr>
          <w:r>
            <w:rPr>
              <w:b/>
              <w:color w:val="0098A7"/>
              <w:sz w:val="20"/>
            </w:rPr>
            <w:t xml:space="preserve"> </w:t>
          </w:r>
          <w:r w:rsidR="00890B6E" w:rsidRPr="00CA001A">
            <w:rPr>
              <w:b/>
              <w:color w:val="0098A7"/>
              <w:sz w:val="20"/>
            </w:rPr>
            <w:t>phii.org/procurement</w:t>
          </w:r>
          <w:r w:rsidR="00EA73BD" w:rsidRPr="00CA001A">
            <w:rPr>
              <w:b/>
              <w:color w:val="0098A7"/>
              <w:sz w:val="20"/>
            </w:rPr>
            <w:t>-toolkit</w:t>
          </w:r>
        </w:p>
        <w:p w:rsidR="00EA73BD" w:rsidRDefault="00EA73BD" w:rsidP="002476C0">
          <w:pPr>
            <w:pStyle w:val="Footer"/>
            <w:spacing w:before="0" w:after="0"/>
            <w:jc w:val="right"/>
          </w:pPr>
        </w:p>
      </w:tc>
    </w:tr>
  </w:tbl>
  <w:p w:rsidR="00C64646" w:rsidRDefault="002476C0" w:rsidP="00EE259A">
    <w:pPr>
      <w:pStyle w:val="Footer"/>
      <w:spacing w:before="0" w:after="0"/>
      <w:jc w:val="right"/>
    </w:pPr>
    <w:r>
      <w:t xml:space="preserve"> </w:t>
    </w:r>
  </w:p>
  <w:p w:rsidR="00EE259A" w:rsidRDefault="00EE2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22C" w:rsidRDefault="0086622C" w:rsidP="00A04CDA">
      <w:r>
        <w:separator/>
      </w:r>
    </w:p>
  </w:footnote>
  <w:footnote w:type="continuationSeparator" w:id="0">
    <w:p w:rsidR="0086622C" w:rsidRDefault="0086622C" w:rsidP="00A0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29"/>
      <w:gridCol w:w="911"/>
    </w:tblGrid>
    <w:tr w:rsidR="00EA73BD" w:rsidTr="00EA73BD">
      <w:tc>
        <w:tcPr>
          <w:tcW w:w="7938" w:type="dxa"/>
        </w:tcPr>
        <w:p w:rsidR="00EA73BD" w:rsidRPr="00EA73BD" w:rsidRDefault="00A01DBD" w:rsidP="00EA57F8">
          <w:pPr>
            <w:spacing w:before="280" w:after="0"/>
            <w:ind w:right="187"/>
            <w:jc w:val="right"/>
            <w:rPr>
              <w:b/>
              <w:color w:val="3D85C6"/>
              <w:sz w:val="20"/>
            </w:rPr>
          </w:pPr>
          <w:r>
            <w:rPr>
              <w:i/>
              <w:color w:val="0098A7"/>
              <w:sz w:val="20"/>
            </w:rPr>
            <w:t xml:space="preserve">Worksheet: </w:t>
          </w:r>
          <w:r w:rsidR="00EA57F8">
            <w:rPr>
              <w:i/>
              <w:color w:val="0098A7"/>
              <w:sz w:val="20"/>
            </w:rPr>
            <w:t>extended project team</w:t>
          </w:r>
        </w:p>
      </w:tc>
      <w:tc>
        <w:tcPr>
          <w:tcW w:w="918" w:type="dxa"/>
        </w:tcPr>
        <w:p w:rsidR="00EA73BD" w:rsidRDefault="00EA73BD" w:rsidP="00EA73B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0A6AD0E" wp14:editId="3549C183">
                <wp:extent cx="297841" cy="333222"/>
                <wp:effectExtent l="0" t="0" r="6985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IS_LogoHor_Color- just icon without tex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557" cy="342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73BD" w:rsidRDefault="00EA73BD" w:rsidP="00EA7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9A" w:rsidRDefault="00EE259A" w:rsidP="00EE259A">
    <w:pPr>
      <w:pStyle w:val="Header"/>
      <w:spacing w:before="0" w:after="0"/>
      <w:jc w:val="right"/>
    </w:pPr>
    <w:r>
      <w:rPr>
        <w:noProof/>
      </w:rPr>
      <w:drawing>
        <wp:inline distT="0" distB="0" distL="0" distR="0">
          <wp:extent cx="297841" cy="333222"/>
          <wp:effectExtent l="0" t="0" r="698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IS_LogoHor_Color- just icon without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57" cy="342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1D"/>
    <w:multiLevelType w:val="multilevel"/>
    <w:tmpl w:val="72AEE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841AB"/>
    <w:multiLevelType w:val="hybridMultilevel"/>
    <w:tmpl w:val="ED84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0ECC"/>
    <w:multiLevelType w:val="multilevel"/>
    <w:tmpl w:val="A65A70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651EC6"/>
    <w:multiLevelType w:val="multilevel"/>
    <w:tmpl w:val="877AE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D5E8A"/>
    <w:multiLevelType w:val="multilevel"/>
    <w:tmpl w:val="3BD60A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7395DE3"/>
    <w:multiLevelType w:val="multilevel"/>
    <w:tmpl w:val="332EF5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C190716"/>
    <w:multiLevelType w:val="multilevel"/>
    <w:tmpl w:val="F5EE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CCD70C9"/>
    <w:multiLevelType w:val="multilevel"/>
    <w:tmpl w:val="5A388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E4728D"/>
    <w:multiLevelType w:val="multilevel"/>
    <w:tmpl w:val="DA126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F422878"/>
    <w:multiLevelType w:val="multilevel"/>
    <w:tmpl w:val="5C848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D32DA4"/>
    <w:multiLevelType w:val="multilevel"/>
    <w:tmpl w:val="6F72D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38120E"/>
    <w:multiLevelType w:val="hybridMultilevel"/>
    <w:tmpl w:val="A2DC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74A6E"/>
    <w:multiLevelType w:val="multilevel"/>
    <w:tmpl w:val="51C0A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7D2165"/>
    <w:multiLevelType w:val="hybridMultilevel"/>
    <w:tmpl w:val="98D6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70BE7"/>
    <w:multiLevelType w:val="multilevel"/>
    <w:tmpl w:val="7D14F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5"/>
    <w:rsid w:val="00017D5B"/>
    <w:rsid w:val="000562E1"/>
    <w:rsid w:val="000617B2"/>
    <w:rsid w:val="0008131A"/>
    <w:rsid w:val="00085992"/>
    <w:rsid w:val="000912EF"/>
    <w:rsid w:val="00097BFB"/>
    <w:rsid w:val="000B7210"/>
    <w:rsid w:val="000D0B65"/>
    <w:rsid w:val="000D32B9"/>
    <w:rsid w:val="000F6B7E"/>
    <w:rsid w:val="00112C51"/>
    <w:rsid w:val="00121C2C"/>
    <w:rsid w:val="001A29BE"/>
    <w:rsid w:val="001B4347"/>
    <w:rsid w:val="001F66F6"/>
    <w:rsid w:val="00215B92"/>
    <w:rsid w:val="00245843"/>
    <w:rsid w:val="002476C0"/>
    <w:rsid w:val="00270918"/>
    <w:rsid w:val="00283DBC"/>
    <w:rsid w:val="00292473"/>
    <w:rsid w:val="002E67C7"/>
    <w:rsid w:val="00322BDB"/>
    <w:rsid w:val="0032765F"/>
    <w:rsid w:val="00336DC7"/>
    <w:rsid w:val="00352909"/>
    <w:rsid w:val="003662EE"/>
    <w:rsid w:val="0037611A"/>
    <w:rsid w:val="003843D4"/>
    <w:rsid w:val="003A73DA"/>
    <w:rsid w:val="003B7AD3"/>
    <w:rsid w:val="003C1849"/>
    <w:rsid w:val="003C4058"/>
    <w:rsid w:val="003C70EF"/>
    <w:rsid w:val="003D7CAC"/>
    <w:rsid w:val="003F71FB"/>
    <w:rsid w:val="004267F3"/>
    <w:rsid w:val="0043390F"/>
    <w:rsid w:val="00480CEF"/>
    <w:rsid w:val="004B79CC"/>
    <w:rsid w:val="004C3817"/>
    <w:rsid w:val="004D5FA6"/>
    <w:rsid w:val="004F7589"/>
    <w:rsid w:val="005007B0"/>
    <w:rsid w:val="005033A0"/>
    <w:rsid w:val="00503E36"/>
    <w:rsid w:val="00585E0B"/>
    <w:rsid w:val="005936B9"/>
    <w:rsid w:val="005A61CE"/>
    <w:rsid w:val="005B071D"/>
    <w:rsid w:val="006107B0"/>
    <w:rsid w:val="00631210"/>
    <w:rsid w:val="00682B42"/>
    <w:rsid w:val="006A0EC7"/>
    <w:rsid w:val="006C4F7A"/>
    <w:rsid w:val="006D582A"/>
    <w:rsid w:val="006F01DE"/>
    <w:rsid w:val="006F3919"/>
    <w:rsid w:val="007006E8"/>
    <w:rsid w:val="0070218B"/>
    <w:rsid w:val="007B5C78"/>
    <w:rsid w:val="007C34FD"/>
    <w:rsid w:val="007D19D5"/>
    <w:rsid w:val="007D3DA8"/>
    <w:rsid w:val="007E7070"/>
    <w:rsid w:val="008076B4"/>
    <w:rsid w:val="0082467D"/>
    <w:rsid w:val="00825980"/>
    <w:rsid w:val="00827522"/>
    <w:rsid w:val="0086622C"/>
    <w:rsid w:val="00890B6E"/>
    <w:rsid w:val="008D6A72"/>
    <w:rsid w:val="008F1714"/>
    <w:rsid w:val="008F5F83"/>
    <w:rsid w:val="00902A01"/>
    <w:rsid w:val="00937870"/>
    <w:rsid w:val="00946CA6"/>
    <w:rsid w:val="009705E6"/>
    <w:rsid w:val="00983299"/>
    <w:rsid w:val="009906F5"/>
    <w:rsid w:val="009A0666"/>
    <w:rsid w:val="009E6B06"/>
    <w:rsid w:val="00A01DBD"/>
    <w:rsid w:val="00A04CDA"/>
    <w:rsid w:val="00A0769E"/>
    <w:rsid w:val="00A30C12"/>
    <w:rsid w:val="00A65C7F"/>
    <w:rsid w:val="00A6653D"/>
    <w:rsid w:val="00A7688D"/>
    <w:rsid w:val="00A902C3"/>
    <w:rsid w:val="00AB31B0"/>
    <w:rsid w:val="00B105A6"/>
    <w:rsid w:val="00B420B7"/>
    <w:rsid w:val="00BA2A49"/>
    <w:rsid w:val="00BF6C40"/>
    <w:rsid w:val="00C17969"/>
    <w:rsid w:val="00C17B5C"/>
    <w:rsid w:val="00C2151C"/>
    <w:rsid w:val="00C37DFE"/>
    <w:rsid w:val="00C5584B"/>
    <w:rsid w:val="00C64646"/>
    <w:rsid w:val="00CA001A"/>
    <w:rsid w:val="00CE295D"/>
    <w:rsid w:val="00D22B74"/>
    <w:rsid w:val="00D2632E"/>
    <w:rsid w:val="00D3298E"/>
    <w:rsid w:val="00D557A5"/>
    <w:rsid w:val="00DB0715"/>
    <w:rsid w:val="00DE54E2"/>
    <w:rsid w:val="00E259AE"/>
    <w:rsid w:val="00E4321B"/>
    <w:rsid w:val="00E85DB8"/>
    <w:rsid w:val="00EA57F8"/>
    <w:rsid w:val="00EA73BD"/>
    <w:rsid w:val="00EB4A98"/>
    <w:rsid w:val="00EB4E14"/>
    <w:rsid w:val="00EC3EBE"/>
    <w:rsid w:val="00EE259A"/>
    <w:rsid w:val="00EE588C"/>
    <w:rsid w:val="00EF1D40"/>
    <w:rsid w:val="00EF1DBE"/>
    <w:rsid w:val="00EF4CB9"/>
    <w:rsid w:val="00F174F4"/>
    <w:rsid w:val="00F27549"/>
    <w:rsid w:val="00F50BEA"/>
    <w:rsid w:val="00F81827"/>
    <w:rsid w:val="00F96AB3"/>
    <w:rsid w:val="00FE3622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0482F"/>
  <w15:docId w15:val="{46730B10-FEAA-40FC-856E-D9FC986A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DA"/>
    <w:pPr>
      <w:spacing w:before="120" w:after="120"/>
    </w:pPr>
  </w:style>
  <w:style w:type="paragraph" w:styleId="Heading1">
    <w:name w:val="heading 1"/>
    <w:basedOn w:val="Normal"/>
    <w:next w:val="Normal"/>
    <w:qFormat/>
    <w:rsid w:val="00E259AE"/>
    <w:pPr>
      <w:keepNext/>
      <w:keepLines/>
      <w:spacing w:before="360"/>
      <w:outlineLvl w:val="0"/>
    </w:pPr>
    <w:rPr>
      <w:b/>
      <w:color w:val="0076BC"/>
      <w:sz w:val="32"/>
      <w:szCs w:val="32"/>
    </w:rPr>
  </w:style>
  <w:style w:type="paragraph" w:styleId="Heading2">
    <w:name w:val="heading 2"/>
    <w:basedOn w:val="Normal"/>
    <w:next w:val="Normal"/>
    <w:qFormat/>
    <w:rsid w:val="009705E6"/>
    <w:pPr>
      <w:keepNext/>
      <w:keepLines/>
      <w:spacing w:before="36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qFormat/>
    <w:rsid w:val="00E259AE"/>
    <w:pPr>
      <w:keepNext/>
      <w:keepLines/>
      <w:spacing w:before="320" w:after="80"/>
      <w:outlineLvl w:val="2"/>
    </w:pPr>
    <w:rPr>
      <w:b/>
      <w:color w:val="5B9BD5"/>
      <w:sz w:val="24"/>
      <w:szCs w:val="28"/>
      <w14:textFill>
        <w14:solidFill>
          <w14:srgbClr w14:val="5B9BD5">
            <w14:lumMod w14:val="75000"/>
          </w14:srgbClr>
        </w14:solidFill>
      </w14:textFill>
    </w:rPr>
  </w:style>
  <w:style w:type="paragraph" w:styleId="Heading4">
    <w:name w:val="heading 4"/>
    <w:basedOn w:val="Normal"/>
    <w:next w:val="Normal"/>
    <w:qFormat/>
    <w:rsid w:val="002458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rsid w:val="00245843"/>
    <w:pPr>
      <w:keepNext/>
      <w:keepLines/>
      <w:spacing w:before="240" w:after="80"/>
      <w:outlineLvl w:val="4"/>
    </w:pPr>
    <w:rPr>
      <w:i/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215B92"/>
    <w:pPr>
      <w:keepNext/>
      <w:keepLines/>
      <w:jc w:val="center"/>
    </w:pPr>
    <w:rPr>
      <w:b/>
      <w:color w:val="0076BC"/>
      <w:sz w:val="44"/>
      <w:szCs w:val="36"/>
    </w:rPr>
  </w:style>
  <w:style w:type="paragraph" w:styleId="Subtitle">
    <w:name w:val="Subtitle"/>
    <w:basedOn w:val="Normal"/>
    <w:next w:val="Normal"/>
    <w:qFormat/>
    <w:rsid w:val="00215B92"/>
    <w:pPr>
      <w:keepNext/>
      <w:keepLines/>
      <w:spacing w:after="320"/>
      <w:jc w:val="center"/>
    </w:pPr>
    <w:rPr>
      <w:rFonts w:ascii="Arial" w:eastAsia="Arial" w:hAnsi="Arial" w:cs="Arial"/>
      <w:i/>
      <w:noProof/>
      <w:color w:val="0076BC"/>
      <w:sz w:val="28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A2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9BE"/>
  </w:style>
  <w:style w:type="paragraph" w:styleId="Footer">
    <w:name w:val="footer"/>
    <w:basedOn w:val="Normal"/>
    <w:link w:val="FooterChar"/>
    <w:uiPriority w:val="99"/>
    <w:unhideWhenUsed/>
    <w:rsid w:val="001A2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9BE"/>
  </w:style>
  <w:style w:type="paragraph" w:styleId="NoSpacing">
    <w:name w:val="No Spacing"/>
    <w:uiPriority w:val="1"/>
    <w:qFormat/>
    <w:rsid w:val="0070218B"/>
  </w:style>
  <w:style w:type="character" w:styleId="IntenseEmphasis">
    <w:name w:val="Intense Emphasis"/>
    <w:basedOn w:val="DefaultParagraphFont"/>
    <w:uiPriority w:val="21"/>
    <w:qFormat/>
    <w:rsid w:val="0070218B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006E8"/>
    <w:pPr>
      <w:ind w:left="720"/>
      <w:contextualSpacing/>
    </w:pPr>
  </w:style>
  <w:style w:type="paragraph" w:customStyle="1" w:styleId="TableHeadCenterTablesandCharts">
    <w:name w:val="Table Head Center (Tables and Charts)"/>
    <w:basedOn w:val="Normal"/>
    <w:uiPriority w:val="99"/>
    <w:rsid w:val="00A04CDA"/>
    <w:pPr>
      <w:suppressAutoHyphens/>
      <w:autoSpaceDE w:val="0"/>
      <w:autoSpaceDN w:val="0"/>
      <w:adjustRightInd w:val="0"/>
      <w:spacing w:after="90" w:line="220" w:lineRule="atLeast"/>
      <w:jc w:val="center"/>
      <w:textAlignment w:val="center"/>
    </w:pPr>
    <w:rPr>
      <w:rFonts w:eastAsiaTheme="minorHAnsi"/>
      <w:b/>
      <w:bCs/>
      <w:color w:val="FFFFFF"/>
    </w:rPr>
  </w:style>
  <w:style w:type="paragraph" w:customStyle="1" w:styleId="TableTextTablesandCharts">
    <w:name w:val="Table Text (Tables and Charts)"/>
    <w:basedOn w:val="Normal"/>
    <w:uiPriority w:val="99"/>
    <w:rsid w:val="00A04CDA"/>
    <w:pPr>
      <w:suppressAutoHyphens/>
      <w:autoSpaceDE w:val="0"/>
      <w:autoSpaceDN w:val="0"/>
      <w:adjustRightInd w:val="0"/>
      <w:spacing w:after="90" w:line="220" w:lineRule="atLeast"/>
      <w:textAlignment w:val="center"/>
    </w:pPr>
    <w:rPr>
      <w:rFonts w:eastAsiaTheme="minorHAnsi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A0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A04CDA"/>
    <w:pPr>
      <w:spacing w:after="0"/>
    </w:pPr>
  </w:style>
  <w:style w:type="character" w:customStyle="1" w:styleId="TabletextChar">
    <w:name w:val="Table text Char"/>
    <w:basedOn w:val="DefaultParagraphFont"/>
    <w:link w:val="Tabletext"/>
    <w:rsid w:val="00A0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Piper Hale</dc:creator>
  <cp:lastModifiedBy>Piper Hale</cp:lastModifiedBy>
  <cp:revision>7</cp:revision>
  <dcterms:created xsi:type="dcterms:W3CDTF">2021-05-07T20:55:00Z</dcterms:created>
  <dcterms:modified xsi:type="dcterms:W3CDTF">2021-05-07T21:00:00Z</dcterms:modified>
</cp:coreProperties>
</file>