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5" w:rsidRPr="00A7688D" w:rsidRDefault="002F0574" w:rsidP="00215B92">
      <w:pPr>
        <w:pStyle w:val="Title"/>
        <w:rPr>
          <w:color w:val="0098A7"/>
        </w:rPr>
      </w:pPr>
      <w:r>
        <w:rPr>
          <w:color w:val="0098A7"/>
        </w:rPr>
        <w:t xml:space="preserve">Assembling the Team: </w:t>
      </w:r>
      <w:bookmarkStart w:id="0" w:name="_GoBack"/>
      <w:bookmarkEnd w:id="0"/>
      <w:r w:rsidR="009A0666">
        <w:rPr>
          <w:color w:val="0098A7"/>
        </w:rPr>
        <w:t>Core Project Team</w:t>
      </w:r>
    </w:p>
    <w:bookmarkStart w:id="1" w:name="_ytii46ix4k66" w:colFirst="0" w:colLast="0"/>
    <w:bookmarkEnd w:id="1"/>
    <w:p w:rsidR="005B071D" w:rsidRPr="005B071D" w:rsidRDefault="009A0666" w:rsidP="00322BDB">
      <w:pPr>
        <w:pStyle w:val="Subtitle"/>
        <w:spacing w:after="120"/>
        <w:rPr>
          <w:color w:val="0098A7"/>
        </w:rPr>
      </w:pPr>
      <w:r w:rsidRPr="002E67C7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4D2D3" wp14:editId="6D088EA3">
                <wp:simplePos x="0" y="0"/>
                <wp:positionH relativeFrom="column">
                  <wp:posOffset>1924050</wp:posOffset>
                </wp:positionH>
                <wp:positionV relativeFrom="paragraph">
                  <wp:posOffset>257175</wp:posOffset>
                </wp:positionV>
                <wp:extent cx="723016" cy="644056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6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67C7" w:rsidRDefault="002E67C7" w:rsidP="002E67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3DB47" wp14:editId="4F903BE9">
                                  <wp:extent cx="492981" cy="492981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lanning icon- whit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51" cy="499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4D2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1.5pt;margin-top:20.25pt;width:56.95pt;height:5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" filled="f" stroked="f" strokeweight=".5pt">
                <v:textbox>
                  <w:txbxContent>
                    <w:p w:rsidR="002E67C7" w:rsidRDefault="002E67C7" w:rsidP="002E67C7">
                      <w:r>
                        <w:rPr>
                          <w:noProof/>
                        </w:rPr>
                        <w:drawing>
                          <wp:inline distT="0" distB="0" distL="0" distR="0" wp14:anchorId="79D3DB47" wp14:editId="4F903BE9">
                            <wp:extent cx="492981" cy="492981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lanning icon- whit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51" cy="499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67C7" w:rsidRPr="002E67C7">
        <w:rPr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4ABF1" wp14:editId="07F50875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5462270" cy="508635"/>
                <wp:effectExtent l="0" t="0" r="508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508635"/>
                        </a:xfrm>
                        <a:prstGeom prst="rect">
                          <a:avLst/>
                        </a:prstGeom>
                        <a:solidFill>
                          <a:srgbClr val="0098A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7C7" w:rsidRPr="0033796E" w:rsidRDefault="002E67C7" w:rsidP="002E67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33796E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ABF1" id="Text Box 2" o:spid="_x0000_s1027" type="#_x0000_t202" style="position:absolute;left:0;text-align:left;margin-left:0;margin-top:30.5pt;width:430.1pt;height:40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" fillcolor="#0098a7" stroked="f">
                <v:textbox>
                  <w:txbxContent>
                    <w:p w:rsidR="002E67C7" w:rsidRPr="0033796E" w:rsidRDefault="002E67C7" w:rsidP="002E67C7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   </w:t>
                      </w:r>
                      <w:r w:rsidRPr="0033796E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Planning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2C51">
        <w:rPr>
          <w:color w:val="0098A7"/>
        </w:rPr>
        <w:t>An interactive worksheet</w:t>
      </w:r>
    </w:p>
    <w:p w:rsidR="009A0666" w:rsidRDefault="009A0666" w:rsidP="009A066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A01DBD" w:rsidRDefault="00A01DBD" w:rsidP="009A06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</w:t>
      </w:r>
      <w:r w:rsidR="009A0666">
        <w:rPr>
          <w:color w:val="000000"/>
        </w:rPr>
        <w:t xml:space="preserve"> individuals </w:t>
      </w:r>
      <w:r>
        <w:rPr>
          <w:color w:val="000000"/>
        </w:rPr>
        <w:t xml:space="preserve">making up the core project team </w:t>
      </w:r>
      <w:r w:rsidR="009A0666">
        <w:rPr>
          <w:color w:val="000000"/>
        </w:rPr>
        <w:t xml:space="preserve">are the ones tasked with the ongoing and day-to-day management of the procurement process. They may not have deep IIS subject matter expertise—that may come more from the </w:t>
      </w:r>
      <w:r>
        <w:rPr>
          <w:color w:val="000000"/>
        </w:rPr>
        <w:t xml:space="preserve">extended project team (see the </w:t>
      </w:r>
      <w:r w:rsidRPr="00A01DBD">
        <w:rPr>
          <w:b/>
          <w:color w:val="000000"/>
        </w:rPr>
        <w:t>Extended Project Team</w:t>
      </w:r>
      <w:r>
        <w:rPr>
          <w:color w:val="000000"/>
        </w:rPr>
        <w:t xml:space="preserve"> worksheet</w:t>
      </w:r>
      <w:r w:rsidR="009A0666">
        <w:rPr>
          <w:color w:val="000000"/>
        </w:rPr>
        <w:t xml:space="preserve">)—but they are or need to become the procurement </w:t>
      </w:r>
      <w:r w:rsidR="009A0666" w:rsidRPr="005934F0">
        <w:rPr>
          <w:i/>
          <w:color w:val="000000"/>
        </w:rPr>
        <w:t>process experts</w:t>
      </w:r>
      <w:r w:rsidR="009A0666">
        <w:rPr>
          <w:color w:val="000000"/>
        </w:rPr>
        <w:t xml:space="preserve"> in terms</w:t>
      </w:r>
      <w:r>
        <w:rPr>
          <w:color w:val="000000"/>
        </w:rPr>
        <w:t xml:space="preserve"> of </w:t>
      </w:r>
      <w:r w:rsidR="009A0666">
        <w:rPr>
          <w:color w:val="000000"/>
        </w:rPr>
        <w:t xml:space="preserve">managing the teams, </w:t>
      </w:r>
      <w:r>
        <w:rPr>
          <w:color w:val="000000"/>
        </w:rPr>
        <w:t>overseeing all of the steps in the process</w:t>
      </w:r>
      <w:r w:rsidR="009A0666">
        <w:rPr>
          <w:color w:val="000000"/>
        </w:rPr>
        <w:t xml:space="preserve"> and </w:t>
      </w:r>
      <w:r>
        <w:rPr>
          <w:color w:val="000000"/>
        </w:rPr>
        <w:t>managing documentation</w:t>
      </w:r>
      <w:r w:rsidR="009A0666">
        <w:rPr>
          <w:color w:val="000000"/>
        </w:rPr>
        <w:t xml:space="preserve">. </w:t>
      </w:r>
    </w:p>
    <w:p w:rsidR="00A01DBD" w:rsidRDefault="009A0666" w:rsidP="009A06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Depending upon how your procurement office is structured (</w:t>
      </w:r>
      <w:r w:rsidR="00A01DBD">
        <w:rPr>
          <w:color w:val="000000"/>
        </w:rPr>
        <w:t xml:space="preserve">whether it is </w:t>
      </w:r>
      <w:r>
        <w:rPr>
          <w:color w:val="000000"/>
        </w:rPr>
        <w:t xml:space="preserve">within or outside </w:t>
      </w:r>
      <w:r w:rsidR="00A01DBD">
        <w:rPr>
          <w:color w:val="000000"/>
        </w:rPr>
        <w:t>of the health department, the</w:t>
      </w:r>
      <w:r>
        <w:rPr>
          <w:color w:val="000000"/>
        </w:rPr>
        <w:t xml:space="preserve"> number of staff, etc.), a representative of the procurement office may also be on your core team, especially in the beginning when you are researching your options. </w:t>
      </w:r>
      <w:r w:rsidRPr="00502DD7">
        <w:rPr>
          <w:color w:val="000000"/>
        </w:rPr>
        <w:t xml:space="preserve"> </w:t>
      </w:r>
    </w:p>
    <w:p w:rsidR="009A0666" w:rsidRPr="005934F0" w:rsidRDefault="009A0666" w:rsidP="009A066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7A52BE">
        <w:rPr>
          <w:i/>
          <w:color w:val="000000"/>
        </w:rPr>
        <w:t xml:space="preserve">The examples provided are illustrative only; </w:t>
      </w:r>
      <w:r>
        <w:rPr>
          <w:i/>
          <w:color w:val="000000"/>
        </w:rPr>
        <w:t>adapt</w:t>
      </w:r>
      <w:r w:rsidRPr="005934F0">
        <w:rPr>
          <w:i/>
          <w:color w:val="000000"/>
        </w:rPr>
        <w:t xml:space="preserve"> the roles and description as needed to fit your circumstances and needs. </w:t>
      </w:r>
    </w:p>
    <w:p w:rsidR="008D6A72" w:rsidRDefault="008D6A72" w:rsidP="009A0666">
      <w:pPr>
        <w:pStyle w:val="Heading2"/>
      </w:pPr>
    </w:p>
    <w:p w:rsidR="0008131A" w:rsidRDefault="0008131A" w:rsidP="00A04CDA"/>
    <w:p w:rsidR="00EA73BD" w:rsidRDefault="00EA73BD" w:rsidP="00A04CDA"/>
    <w:p w:rsidR="008076B4" w:rsidRDefault="008076B4" w:rsidP="00A04CDA"/>
    <w:p w:rsidR="004D5FA6" w:rsidRPr="004D5FA6" w:rsidRDefault="004D5FA6" w:rsidP="004D5FA6"/>
    <w:p w:rsidR="0008131A" w:rsidRDefault="0008131A" w:rsidP="00A04CDA">
      <w:pPr>
        <w:rPr>
          <w:color w:val="666666"/>
        </w:rPr>
      </w:pPr>
      <w:r>
        <w:br w:type="page"/>
      </w:r>
    </w:p>
    <w:p w:rsidR="00A04CDA" w:rsidRDefault="00F174F4" w:rsidP="00F174F4">
      <w:pPr>
        <w:pStyle w:val="Heading1"/>
      </w:pPr>
      <w:r>
        <w:rPr>
          <w:color w:val="0098A7"/>
        </w:rPr>
        <w:lastRenderedPageBreak/>
        <w:t xml:space="preserve">Worksheet: </w:t>
      </w:r>
      <w:r w:rsidR="00A01DBD">
        <w:rPr>
          <w:color w:val="0098A7"/>
        </w:rPr>
        <w:t>core project team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1908"/>
        <w:gridCol w:w="2790"/>
        <w:gridCol w:w="4230"/>
      </w:tblGrid>
      <w:tr w:rsidR="00A04CDA" w:rsidTr="005B071D">
        <w:tc>
          <w:tcPr>
            <w:tcW w:w="1908" w:type="dxa"/>
            <w:shd w:val="clear" w:color="auto" w:fill="0098A7"/>
          </w:tcPr>
          <w:p w:rsidR="00A04CDA" w:rsidRPr="007B5C78" w:rsidRDefault="00F174F4" w:rsidP="00A04CDA">
            <w:pPr>
              <w:pStyle w:val="Tabletext"/>
              <w:rPr>
                <w:b/>
                <w:color w:val="FFFFFF" w:themeColor="background1"/>
              </w:rPr>
            </w:pPr>
            <w:r w:rsidRPr="00F174F4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790" w:type="dxa"/>
            <w:shd w:val="clear" w:color="auto" w:fill="0098A7"/>
          </w:tcPr>
          <w:p w:rsidR="00A04CDA" w:rsidRPr="007B5C78" w:rsidRDefault="00A01DBD" w:rsidP="00A04CDA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Role/t</w:t>
            </w:r>
            <w:r w:rsidR="00F174F4">
              <w:rPr>
                <w:b/>
                <w:color w:val="FFFFFF" w:themeColor="background1"/>
              </w:rPr>
              <w:t>itle</w:t>
            </w:r>
          </w:p>
        </w:tc>
        <w:tc>
          <w:tcPr>
            <w:tcW w:w="4230" w:type="dxa"/>
            <w:shd w:val="clear" w:color="auto" w:fill="0098A7"/>
          </w:tcPr>
          <w:p w:rsidR="00A04CDA" w:rsidRPr="007B5C78" w:rsidRDefault="00A01DBD" w:rsidP="00A04CDA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Specific role (s)</w:t>
            </w:r>
          </w:p>
        </w:tc>
      </w:tr>
      <w:tr w:rsidR="00A04CDA" w:rsidTr="005B071D">
        <w:tc>
          <w:tcPr>
            <w:tcW w:w="1908" w:type="dxa"/>
          </w:tcPr>
          <w:p w:rsidR="00A04CDA" w:rsidRPr="00A01DBD" w:rsidRDefault="00A04CDA" w:rsidP="00A04CDA"/>
          <w:p w:rsidR="00F174F4" w:rsidRPr="00A01DBD" w:rsidRDefault="00F174F4" w:rsidP="00A04CDA"/>
        </w:tc>
        <w:tc>
          <w:tcPr>
            <w:tcW w:w="2790" w:type="dxa"/>
          </w:tcPr>
          <w:p w:rsidR="00A04CDA" w:rsidRPr="00A01DBD" w:rsidRDefault="00A01DBD" w:rsidP="00A04CDA">
            <w:r w:rsidRPr="00A01DBD">
              <w:rPr>
                <w:color w:val="000000"/>
              </w:rPr>
              <w:t>Project lead</w:t>
            </w:r>
          </w:p>
        </w:tc>
        <w:tc>
          <w:tcPr>
            <w:tcW w:w="4230" w:type="dxa"/>
          </w:tcPr>
          <w:p w:rsidR="00A04CDA" w:rsidRPr="00A01DBD" w:rsidRDefault="00A01DBD" w:rsidP="00A01DBD">
            <w:pPr>
              <w:spacing w:before="60" w:after="60"/>
              <w:rPr>
                <w:color w:val="000000"/>
              </w:rPr>
            </w:pPr>
            <w:r w:rsidRPr="00A01DBD">
              <w:rPr>
                <w:color w:val="000000"/>
              </w:rPr>
              <w:t>Has overall responsibility for the project; is typically the IIS manager.</w:t>
            </w:r>
          </w:p>
        </w:tc>
      </w:tr>
      <w:tr w:rsidR="00A04CDA" w:rsidTr="005B071D">
        <w:tc>
          <w:tcPr>
            <w:tcW w:w="1908" w:type="dxa"/>
          </w:tcPr>
          <w:p w:rsidR="00A04CDA" w:rsidRPr="00A01DBD" w:rsidRDefault="00A04CDA" w:rsidP="00A04CDA"/>
          <w:p w:rsidR="00F174F4" w:rsidRPr="00A01DBD" w:rsidRDefault="00F174F4" w:rsidP="00A04CDA"/>
        </w:tc>
        <w:tc>
          <w:tcPr>
            <w:tcW w:w="2790" w:type="dxa"/>
          </w:tcPr>
          <w:p w:rsidR="00A04CDA" w:rsidRPr="00A01DBD" w:rsidRDefault="00A01DBD" w:rsidP="00A04CDA">
            <w:r w:rsidRPr="00A01DBD">
              <w:rPr>
                <w:color w:val="000000"/>
              </w:rPr>
              <w:t>Project manager (from the health department, central project management office [PMO]) or contracted</w:t>
            </w:r>
          </w:p>
        </w:tc>
        <w:tc>
          <w:tcPr>
            <w:tcW w:w="4230" w:type="dxa"/>
          </w:tcPr>
          <w:p w:rsidR="00A01DBD" w:rsidRPr="00A01DBD" w:rsidRDefault="00A01DBD" w:rsidP="00A01DBD">
            <w:pPr>
              <w:spacing w:before="60" w:after="60"/>
              <w:rPr>
                <w:color w:val="000000"/>
              </w:rPr>
            </w:pPr>
            <w:r w:rsidRPr="00A01DBD">
              <w:rPr>
                <w:color w:val="000000"/>
              </w:rPr>
              <w:t>Develop detailed project plan; ensure all tasks occur within the defined timeframe and budget.</w:t>
            </w:r>
          </w:p>
          <w:p w:rsidR="00A04CDA" w:rsidRPr="00A01DBD" w:rsidRDefault="00A01DBD" w:rsidP="00A01DBD">
            <w:r w:rsidRPr="00A01DBD">
              <w:rPr>
                <w:i/>
                <w:color w:val="000000"/>
              </w:rPr>
              <w:t>This arguably the most critical role in a successful migration project.</w:t>
            </w:r>
          </w:p>
        </w:tc>
      </w:tr>
      <w:tr w:rsidR="00A01DBD" w:rsidTr="005B071D">
        <w:tc>
          <w:tcPr>
            <w:tcW w:w="1908" w:type="dxa"/>
          </w:tcPr>
          <w:p w:rsidR="00A01DBD" w:rsidRPr="00A01DBD" w:rsidRDefault="00A01DBD" w:rsidP="00A01DBD"/>
          <w:p w:rsidR="00A01DBD" w:rsidRPr="00A01DBD" w:rsidRDefault="00A01DBD" w:rsidP="00A01DBD"/>
        </w:tc>
        <w:tc>
          <w:tcPr>
            <w:tcW w:w="2790" w:type="dxa"/>
          </w:tcPr>
          <w:p w:rsidR="00A01DBD" w:rsidRPr="00A01DBD" w:rsidRDefault="00A01DBD" w:rsidP="00A01DBD">
            <w:pPr>
              <w:spacing w:before="60" w:after="60"/>
              <w:rPr>
                <w:color w:val="000000"/>
              </w:rPr>
            </w:pPr>
            <w:r w:rsidRPr="00A01DBD">
              <w:rPr>
                <w:color w:val="000000"/>
              </w:rPr>
              <w:t>Business analyst(s)</w:t>
            </w:r>
          </w:p>
        </w:tc>
        <w:tc>
          <w:tcPr>
            <w:tcW w:w="4230" w:type="dxa"/>
          </w:tcPr>
          <w:p w:rsidR="00A01DBD" w:rsidRPr="00A01DBD" w:rsidRDefault="00A01DBD" w:rsidP="00A01DBD">
            <w:r w:rsidRPr="00A01DBD">
              <w:rPr>
                <w:color w:val="000000"/>
              </w:rPr>
              <w:t>Facilitate the process for gathering, defining and documenting system and other requirements; facilitate and document “as-is” and “to-be” workflows/business processes. May play later roles in testing or other areas.</w:t>
            </w:r>
          </w:p>
        </w:tc>
      </w:tr>
      <w:tr w:rsidR="00A01DBD" w:rsidTr="005B071D">
        <w:tc>
          <w:tcPr>
            <w:tcW w:w="1908" w:type="dxa"/>
          </w:tcPr>
          <w:p w:rsidR="00A01DBD" w:rsidRPr="00A01DBD" w:rsidRDefault="00A01DBD" w:rsidP="00A01DBD"/>
          <w:p w:rsidR="00A01DBD" w:rsidRPr="00A01DBD" w:rsidRDefault="00A01DBD" w:rsidP="00A01DBD"/>
        </w:tc>
        <w:tc>
          <w:tcPr>
            <w:tcW w:w="2790" w:type="dxa"/>
          </w:tcPr>
          <w:p w:rsidR="00A01DBD" w:rsidRPr="00A01DBD" w:rsidRDefault="00A01DBD" w:rsidP="00A01DBD">
            <w:r w:rsidRPr="00A01DBD">
              <w:rPr>
                <w:color w:val="000000"/>
              </w:rPr>
              <w:t>IT manager(s)</w:t>
            </w:r>
          </w:p>
        </w:tc>
        <w:tc>
          <w:tcPr>
            <w:tcW w:w="4230" w:type="dxa"/>
          </w:tcPr>
          <w:p w:rsidR="00A01DBD" w:rsidRPr="00A01DBD" w:rsidRDefault="00A01DBD" w:rsidP="00A01DBD">
            <w:r w:rsidRPr="00A01DBD">
              <w:rPr>
                <w:color w:val="000000"/>
              </w:rPr>
              <w:t>Agency or central IT managers responsible for application development and/or deployment might be good assets on the core team depending on the nature of the procurement.</w:t>
            </w:r>
          </w:p>
        </w:tc>
      </w:tr>
      <w:tr w:rsidR="00A01DBD" w:rsidTr="005B071D">
        <w:tc>
          <w:tcPr>
            <w:tcW w:w="1908" w:type="dxa"/>
          </w:tcPr>
          <w:p w:rsidR="00A01DBD" w:rsidRPr="00A01DBD" w:rsidRDefault="00A01DBD" w:rsidP="00A01DBD"/>
          <w:p w:rsidR="00A01DBD" w:rsidRPr="00A01DBD" w:rsidRDefault="00A01DBD" w:rsidP="00A01DBD"/>
        </w:tc>
        <w:tc>
          <w:tcPr>
            <w:tcW w:w="2790" w:type="dxa"/>
          </w:tcPr>
          <w:p w:rsidR="00A01DBD" w:rsidRPr="00A01DBD" w:rsidRDefault="00A01DBD" w:rsidP="00A01DBD"/>
        </w:tc>
        <w:tc>
          <w:tcPr>
            <w:tcW w:w="4230" w:type="dxa"/>
          </w:tcPr>
          <w:p w:rsidR="00A01DBD" w:rsidRPr="00A01DBD" w:rsidRDefault="00A01DBD" w:rsidP="00A01DBD"/>
        </w:tc>
      </w:tr>
      <w:tr w:rsidR="00A01DBD" w:rsidTr="005B071D">
        <w:tc>
          <w:tcPr>
            <w:tcW w:w="1908" w:type="dxa"/>
          </w:tcPr>
          <w:p w:rsidR="00A01DBD" w:rsidRPr="00A01DBD" w:rsidRDefault="00A01DBD" w:rsidP="00A01DBD"/>
          <w:p w:rsidR="00A01DBD" w:rsidRPr="00A01DBD" w:rsidRDefault="00A01DBD" w:rsidP="00A01DBD"/>
        </w:tc>
        <w:tc>
          <w:tcPr>
            <w:tcW w:w="2790" w:type="dxa"/>
          </w:tcPr>
          <w:p w:rsidR="00A01DBD" w:rsidRPr="00A01DBD" w:rsidRDefault="00A01DBD" w:rsidP="00A01DBD"/>
        </w:tc>
        <w:tc>
          <w:tcPr>
            <w:tcW w:w="4230" w:type="dxa"/>
          </w:tcPr>
          <w:p w:rsidR="00A01DBD" w:rsidRPr="00A01DBD" w:rsidRDefault="00A01DBD" w:rsidP="00A01DBD"/>
        </w:tc>
      </w:tr>
      <w:tr w:rsidR="00A01DBD" w:rsidTr="005B071D">
        <w:tc>
          <w:tcPr>
            <w:tcW w:w="1908" w:type="dxa"/>
          </w:tcPr>
          <w:p w:rsidR="00A01DBD" w:rsidRPr="00A01DBD" w:rsidRDefault="00A01DBD" w:rsidP="00A01DBD"/>
          <w:p w:rsidR="00A01DBD" w:rsidRPr="00A01DBD" w:rsidRDefault="00A01DBD" w:rsidP="00A01DBD"/>
        </w:tc>
        <w:tc>
          <w:tcPr>
            <w:tcW w:w="2790" w:type="dxa"/>
          </w:tcPr>
          <w:p w:rsidR="00A01DBD" w:rsidRPr="00A01DBD" w:rsidRDefault="00A01DBD" w:rsidP="00A01DBD"/>
        </w:tc>
        <w:tc>
          <w:tcPr>
            <w:tcW w:w="4230" w:type="dxa"/>
          </w:tcPr>
          <w:p w:rsidR="00A01DBD" w:rsidRPr="00A01DBD" w:rsidRDefault="00A01DBD" w:rsidP="00A01DBD"/>
        </w:tc>
      </w:tr>
    </w:tbl>
    <w:p w:rsidR="009906F5" w:rsidRDefault="009906F5" w:rsidP="00E259AE">
      <w:pPr>
        <w:pStyle w:val="Heading1"/>
      </w:pPr>
      <w:bookmarkStart w:id="2" w:name="_2frmx3tmcmrt" w:colFirst="0" w:colLast="0"/>
      <w:bookmarkEnd w:id="2"/>
    </w:p>
    <w:sectPr w:rsidR="009906F5" w:rsidSect="00EE25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20" w:footer="3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03" w:rsidRDefault="001E6F03" w:rsidP="00A04CDA">
      <w:r>
        <w:separator/>
      </w:r>
    </w:p>
  </w:endnote>
  <w:endnote w:type="continuationSeparator" w:id="0">
    <w:p w:rsidR="001E6F03" w:rsidRDefault="001E6F03" w:rsidP="00A0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5" w:rsidRDefault="005033A0" w:rsidP="00A04CDA">
    <w:r>
      <w:fldChar w:fldCharType="begin"/>
    </w:r>
    <w:r>
      <w:instrText>PAGE</w:instrText>
    </w:r>
    <w:r>
      <w:fldChar w:fldCharType="end"/>
    </w:r>
  </w:p>
  <w:p w:rsidR="009906F5" w:rsidRDefault="009906F5" w:rsidP="00A04CD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858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06E8" w:rsidRDefault="007006E8" w:rsidP="00C64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5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6F5" w:rsidRDefault="009906F5" w:rsidP="00A04CD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8"/>
      <w:gridCol w:w="3240"/>
    </w:tblGrid>
    <w:tr w:rsidR="00EA73BD" w:rsidTr="002476C0">
      <w:tc>
        <w:tcPr>
          <w:tcW w:w="5958" w:type="dxa"/>
        </w:tcPr>
        <w:p w:rsidR="00EA73BD" w:rsidRPr="00EA73BD" w:rsidRDefault="00EA73BD" w:rsidP="009A0666">
          <w:pPr>
            <w:tabs>
              <w:tab w:val="left" w:pos="1155"/>
            </w:tabs>
          </w:pPr>
          <w:r w:rsidRPr="004D5FA6">
            <w:rPr>
              <w:i/>
              <w:color w:val="666666"/>
            </w:rPr>
            <w:t xml:space="preserve">This resource was developed </w:t>
          </w:r>
          <w:r w:rsidR="009E6B06">
            <w:rPr>
              <w:i/>
              <w:color w:val="666666"/>
            </w:rPr>
            <w:t xml:space="preserve">by PHII </w:t>
          </w:r>
          <w:r w:rsidRPr="004D5FA6">
            <w:rPr>
              <w:i/>
              <w:color w:val="666666"/>
            </w:rPr>
            <w:t xml:space="preserve">as part of the IIS </w:t>
          </w:r>
          <w:r w:rsidR="00CA001A">
            <w:rPr>
              <w:i/>
              <w:color w:val="666666"/>
            </w:rPr>
            <w:t>Procurement</w:t>
          </w:r>
          <w:r w:rsidRPr="004D5FA6">
            <w:rPr>
              <w:i/>
              <w:color w:val="666666"/>
            </w:rPr>
            <w:t xml:space="preserve"> Toolkit, in partnership with AIRA and CDC and with financial support from CDC. Last updated M</w:t>
          </w:r>
          <w:r w:rsidR="009A0666">
            <w:rPr>
              <w:i/>
              <w:color w:val="666666"/>
            </w:rPr>
            <w:t>ay</w:t>
          </w:r>
          <w:r w:rsidRPr="004D5FA6">
            <w:rPr>
              <w:i/>
              <w:color w:val="666666"/>
            </w:rPr>
            <w:t xml:space="preserve"> </w:t>
          </w:r>
          <w:r w:rsidR="009A0666">
            <w:rPr>
              <w:i/>
              <w:color w:val="666666"/>
            </w:rPr>
            <w:t>7</w:t>
          </w:r>
          <w:r w:rsidRPr="004D5FA6">
            <w:rPr>
              <w:i/>
              <w:color w:val="666666"/>
            </w:rPr>
            <w:t xml:space="preserve">, </w:t>
          </w:r>
          <w:r w:rsidR="009A0666">
            <w:rPr>
              <w:i/>
              <w:color w:val="666666"/>
            </w:rPr>
            <w:t>2021</w:t>
          </w:r>
          <w:r w:rsidRPr="004D5FA6">
            <w:rPr>
              <w:i/>
              <w:color w:val="666666"/>
            </w:rPr>
            <w:t xml:space="preserve">. Questions, comments and suggestions are welcomed at </w:t>
          </w:r>
          <w:r w:rsidRPr="004D5FA6">
            <w:rPr>
              <w:b/>
              <w:i/>
              <w:color w:val="666666"/>
            </w:rPr>
            <w:t>phii.org/</w:t>
          </w:r>
          <w:proofErr w:type="spellStart"/>
          <w:r w:rsidRPr="004D5FA6">
            <w:rPr>
              <w:b/>
              <w:i/>
              <w:color w:val="666666"/>
            </w:rPr>
            <w:t>iiscontact</w:t>
          </w:r>
          <w:proofErr w:type="spellEnd"/>
          <w:r w:rsidRPr="004D5FA6">
            <w:rPr>
              <w:i/>
              <w:color w:val="666666"/>
            </w:rPr>
            <w:t>.</w:t>
          </w:r>
        </w:p>
      </w:tc>
      <w:tc>
        <w:tcPr>
          <w:tcW w:w="3240" w:type="dxa"/>
        </w:tcPr>
        <w:p w:rsidR="00EA73BD" w:rsidRDefault="00EA73BD" w:rsidP="002476C0">
          <w:pPr>
            <w:pStyle w:val="Footer"/>
            <w:spacing w:before="240" w:after="0"/>
            <w:jc w:val="right"/>
          </w:pPr>
          <w:r>
            <w:rPr>
              <w:noProof/>
            </w:rPr>
            <w:drawing>
              <wp:inline distT="0" distB="0" distL="0" distR="0" wp14:anchorId="5E7749D5" wp14:editId="2158522A">
                <wp:extent cx="1611374" cy="382642"/>
                <wp:effectExtent l="0" t="0" r="825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IS migration strategy toolki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374" cy="3826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A73BD" w:rsidRPr="00CA001A" w:rsidRDefault="002476C0" w:rsidP="002476C0">
          <w:pPr>
            <w:spacing w:before="160" w:after="0"/>
            <w:jc w:val="right"/>
            <w:rPr>
              <w:b/>
              <w:color w:val="0098A7"/>
              <w:sz w:val="20"/>
            </w:rPr>
          </w:pPr>
          <w:r>
            <w:rPr>
              <w:b/>
              <w:color w:val="0098A7"/>
              <w:sz w:val="20"/>
            </w:rPr>
            <w:t xml:space="preserve"> </w:t>
          </w:r>
          <w:r w:rsidR="00890B6E" w:rsidRPr="00CA001A">
            <w:rPr>
              <w:b/>
              <w:color w:val="0098A7"/>
              <w:sz w:val="20"/>
            </w:rPr>
            <w:t>phii.org/procurement</w:t>
          </w:r>
          <w:r w:rsidR="00EA73BD" w:rsidRPr="00CA001A">
            <w:rPr>
              <w:b/>
              <w:color w:val="0098A7"/>
              <w:sz w:val="20"/>
            </w:rPr>
            <w:t>-toolkit</w:t>
          </w:r>
        </w:p>
        <w:p w:rsidR="00EA73BD" w:rsidRDefault="00EA73BD" w:rsidP="002476C0">
          <w:pPr>
            <w:pStyle w:val="Footer"/>
            <w:spacing w:before="0" w:after="0"/>
            <w:jc w:val="right"/>
          </w:pPr>
        </w:p>
      </w:tc>
    </w:tr>
  </w:tbl>
  <w:p w:rsidR="00C64646" w:rsidRDefault="002476C0" w:rsidP="00EE259A">
    <w:pPr>
      <w:pStyle w:val="Footer"/>
      <w:spacing w:before="0" w:after="0"/>
      <w:jc w:val="right"/>
    </w:pPr>
    <w:r>
      <w:t xml:space="preserve"> </w:t>
    </w:r>
  </w:p>
  <w:p w:rsidR="00EE259A" w:rsidRDefault="00EE2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03" w:rsidRDefault="001E6F03" w:rsidP="00A04CDA">
      <w:r>
        <w:separator/>
      </w:r>
    </w:p>
  </w:footnote>
  <w:footnote w:type="continuationSeparator" w:id="0">
    <w:p w:rsidR="001E6F03" w:rsidRDefault="001E6F03" w:rsidP="00A0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29"/>
      <w:gridCol w:w="911"/>
    </w:tblGrid>
    <w:tr w:rsidR="00EA73BD" w:rsidTr="00EA73BD">
      <w:tc>
        <w:tcPr>
          <w:tcW w:w="7938" w:type="dxa"/>
        </w:tcPr>
        <w:p w:rsidR="00EA73BD" w:rsidRPr="00EA73BD" w:rsidRDefault="00A01DBD" w:rsidP="00EA73BD">
          <w:pPr>
            <w:spacing w:before="280" w:after="0"/>
            <w:ind w:right="187"/>
            <w:jc w:val="right"/>
            <w:rPr>
              <w:b/>
              <w:color w:val="3D85C6"/>
              <w:sz w:val="20"/>
            </w:rPr>
          </w:pPr>
          <w:r>
            <w:rPr>
              <w:i/>
              <w:color w:val="0098A7"/>
              <w:sz w:val="20"/>
            </w:rPr>
            <w:t>Worksheet: core project team</w:t>
          </w:r>
        </w:p>
      </w:tc>
      <w:tc>
        <w:tcPr>
          <w:tcW w:w="918" w:type="dxa"/>
        </w:tcPr>
        <w:p w:rsidR="00EA73BD" w:rsidRDefault="00EA73BD" w:rsidP="00EA73B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0A6AD0E" wp14:editId="3549C183">
                <wp:extent cx="297841" cy="333222"/>
                <wp:effectExtent l="0" t="0" r="6985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IS_LogoHor_Color- just icon without tex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557" cy="342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73BD" w:rsidRDefault="00EA73BD" w:rsidP="00EA7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9A" w:rsidRDefault="00EE259A" w:rsidP="00EE259A">
    <w:pPr>
      <w:pStyle w:val="Header"/>
      <w:spacing w:before="0" w:after="0"/>
      <w:jc w:val="right"/>
    </w:pPr>
    <w:r>
      <w:rPr>
        <w:noProof/>
      </w:rPr>
      <w:drawing>
        <wp:inline distT="0" distB="0" distL="0" distR="0">
          <wp:extent cx="297841" cy="333222"/>
          <wp:effectExtent l="0" t="0" r="698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IS_LogoHor_Color- just icon without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57" cy="342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1D"/>
    <w:multiLevelType w:val="multilevel"/>
    <w:tmpl w:val="72AEE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841AB"/>
    <w:multiLevelType w:val="hybridMultilevel"/>
    <w:tmpl w:val="ED84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0ECC"/>
    <w:multiLevelType w:val="multilevel"/>
    <w:tmpl w:val="A65A70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651EC6"/>
    <w:multiLevelType w:val="multilevel"/>
    <w:tmpl w:val="877AE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D5E8A"/>
    <w:multiLevelType w:val="multilevel"/>
    <w:tmpl w:val="3BD60A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7395DE3"/>
    <w:multiLevelType w:val="multilevel"/>
    <w:tmpl w:val="332EF5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C190716"/>
    <w:multiLevelType w:val="multilevel"/>
    <w:tmpl w:val="F5EE5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CCD70C9"/>
    <w:multiLevelType w:val="multilevel"/>
    <w:tmpl w:val="5A388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E4728D"/>
    <w:multiLevelType w:val="multilevel"/>
    <w:tmpl w:val="DA126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F422878"/>
    <w:multiLevelType w:val="multilevel"/>
    <w:tmpl w:val="5C848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D32DA4"/>
    <w:multiLevelType w:val="multilevel"/>
    <w:tmpl w:val="6F72D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38120E"/>
    <w:multiLevelType w:val="hybridMultilevel"/>
    <w:tmpl w:val="A2DC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74A6E"/>
    <w:multiLevelType w:val="multilevel"/>
    <w:tmpl w:val="51C0A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7D2165"/>
    <w:multiLevelType w:val="hybridMultilevel"/>
    <w:tmpl w:val="98D6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70BE7"/>
    <w:multiLevelType w:val="multilevel"/>
    <w:tmpl w:val="7D14F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0"/>
  </w:num>
  <w:num w:numId="13">
    <w:abstractNumId w:val="1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5"/>
    <w:rsid w:val="000562E1"/>
    <w:rsid w:val="0008131A"/>
    <w:rsid w:val="00085992"/>
    <w:rsid w:val="000912EF"/>
    <w:rsid w:val="00097BFB"/>
    <w:rsid w:val="000B7210"/>
    <w:rsid w:val="000D0B65"/>
    <w:rsid w:val="00112C51"/>
    <w:rsid w:val="00121C2C"/>
    <w:rsid w:val="001A29BE"/>
    <w:rsid w:val="001B4347"/>
    <w:rsid w:val="001E6F03"/>
    <w:rsid w:val="001F66F6"/>
    <w:rsid w:val="00215B92"/>
    <w:rsid w:val="00245843"/>
    <w:rsid w:val="002476C0"/>
    <w:rsid w:val="00270918"/>
    <w:rsid w:val="00283DBC"/>
    <w:rsid w:val="00292473"/>
    <w:rsid w:val="002E67C7"/>
    <w:rsid w:val="002F0574"/>
    <w:rsid w:val="00322BDB"/>
    <w:rsid w:val="0032765F"/>
    <w:rsid w:val="00336DC7"/>
    <w:rsid w:val="003662EE"/>
    <w:rsid w:val="0037611A"/>
    <w:rsid w:val="003843D4"/>
    <w:rsid w:val="003A73DA"/>
    <w:rsid w:val="003B7AD3"/>
    <w:rsid w:val="003C1849"/>
    <w:rsid w:val="003C4058"/>
    <w:rsid w:val="003C70EF"/>
    <w:rsid w:val="003F71FB"/>
    <w:rsid w:val="004267F3"/>
    <w:rsid w:val="0043390F"/>
    <w:rsid w:val="004B79CC"/>
    <w:rsid w:val="004C3817"/>
    <w:rsid w:val="004D5FA6"/>
    <w:rsid w:val="004F7589"/>
    <w:rsid w:val="005007B0"/>
    <w:rsid w:val="005033A0"/>
    <w:rsid w:val="00503E36"/>
    <w:rsid w:val="005936B9"/>
    <w:rsid w:val="005A61CE"/>
    <w:rsid w:val="005B071D"/>
    <w:rsid w:val="006107B0"/>
    <w:rsid w:val="00631210"/>
    <w:rsid w:val="00682B42"/>
    <w:rsid w:val="006A0EC7"/>
    <w:rsid w:val="006C4F7A"/>
    <w:rsid w:val="006D582A"/>
    <w:rsid w:val="006F01DE"/>
    <w:rsid w:val="006F3919"/>
    <w:rsid w:val="007006E8"/>
    <w:rsid w:val="0070218B"/>
    <w:rsid w:val="007B5C78"/>
    <w:rsid w:val="007C34FD"/>
    <w:rsid w:val="007D19D5"/>
    <w:rsid w:val="007D3DA8"/>
    <w:rsid w:val="007E7070"/>
    <w:rsid w:val="008076B4"/>
    <w:rsid w:val="0082467D"/>
    <w:rsid w:val="00827522"/>
    <w:rsid w:val="00890B6E"/>
    <w:rsid w:val="008D6A72"/>
    <w:rsid w:val="008F1714"/>
    <w:rsid w:val="008F5F83"/>
    <w:rsid w:val="00902A01"/>
    <w:rsid w:val="00937870"/>
    <w:rsid w:val="00946CA6"/>
    <w:rsid w:val="009705E6"/>
    <w:rsid w:val="00983299"/>
    <w:rsid w:val="009906F5"/>
    <w:rsid w:val="009A0666"/>
    <w:rsid w:val="009E6B06"/>
    <w:rsid w:val="00A01DBD"/>
    <w:rsid w:val="00A04CDA"/>
    <w:rsid w:val="00A0769E"/>
    <w:rsid w:val="00A30C12"/>
    <w:rsid w:val="00A65C7F"/>
    <w:rsid w:val="00A6653D"/>
    <w:rsid w:val="00A7688D"/>
    <w:rsid w:val="00A902C3"/>
    <w:rsid w:val="00AB31B0"/>
    <w:rsid w:val="00B105A6"/>
    <w:rsid w:val="00B420B7"/>
    <w:rsid w:val="00BA2A49"/>
    <w:rsid w:val="00BF6C40"/>
    <w:rsid w:val="00C17969"/>
    <w:rsid w:val="00C17B5C"/>
    <w:rsid w:val="00C2151C"/>
    <w:rsid w:val="00C37DFE"/>
    <w:rsid w:val="00C5584B"/>
    <w:rsid w:val="00C64646"/>
    <w:rsid w:val="00CA001A"/>
    <w:rsid w:val="00CE295D"/>
    <w:rsid w:val="00D22B74"/>
    <w:rsid w:val="00D2632E"/>
    <w:rsid w:val="00D3298E"/>
    <w:rsid w:val="00D557A5"/>
    <w:rsid w:val="00DB0715"/>
    <w:rsid w:val="00DE54E2"/>
    <w:rsid w:val="00E259AE"/>
    <w:rsid w:val="00E4321B"/>
    <w:rsid w:val="00E85DB8"/>
    <w:rsid w:val="00EA73BD"/>
    <w:rsid w:val="00EB4A98"/>
    <w:rsid w:val="00EB4E14"/>
    <w:rsid w:val="00EE259A"/>
    <w:rsid w:val="00EE588C"/>
    <w:rsid w:val="00EF1D40"/>
    <w:rsid w:val="00EF1DBE"/>
    <w:rsid w:val="00EF4CB9"/>
    <w:rsid w:val="00F174F4"/>
    <w:rsid w:val="00F27549"/>
    <w:rsid w:val="00F50BEA"/>
    <w:rsid w:val="00F81827"/>
    <w:rsid w:val="00F96AB3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1921E"/>
  <w15:docId w15:val="{46730B10-FEAA-40FC-856E-D9FC986A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DA"/>
    <w:pPr>
      <w:spacing w:before="120" w:after="120"/>
    </w:pPr>
  </w:style>
  <w:style w:type="paragraph" w:styleId="Heading1">
    <w:name w:val="heading 1"/>
    <w:basedOn w:val="Normal"/>
    <w:next w:val="Normal"/>
    <w:qFormat/>
    <w:rsid w:val="00E259AE"/>
    <w:pPr>
      <w:keepNext/>
      <w:keepLines/>
      <w:spacing w:before="360"/>
      <w:outlineLvl w:val="0"/>
    </w:pPr>
    <w:rPr>
      <w:b/>
      <w:color w:val="0076BC"/>
      <w:sz w:val="32"/>
      <w:szCs w:val="32"/>
    </w:rPr>
  </w:style>
  <w:style w:type="paragraph" w:styleId="Heading2">
    <w:name w:val="heading 2"/>
    <w:basedOn w:val="Normal"/>
    <w:next w:val="Normal"/>
    <w:qFormat/>
    <w:rsid w:val="009705E6"/>
    <w:pPr>
      <w:keepNext/>
      <w:keepLines/>
      <w:spacing w:before="36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qFormat/>
    <w:rsid w:val="00E259AE"/>
    <w:pPr>
      <w:keepNext/>
      <w:keepLines/>
      <w:spacing w:before="320" w:after="80"/>
      <w:outlineLvl w:val="2"/>
    </w:pPr>
    <w:rPr>
      <w:b/>
      <w:color w:val="5B9BD5"/>
      <w:sz w:val="24"/>
      <w:szCs w:val="28"/>
      <w14:textFill>
        <w14:solidFill>
          <w14:srgbClr w14:val="5B9BD5">
            <w14:lumMod w14:val="75000"/>
          </w14:srgbClr>
        </w14:solidFill>
      </w14:textFill>
    </w:rPr>
  </w:style>
  <w:style w:type="paragraph" w:styleId="Heading4">
    <w:name w:val="heading 4"/>
    <w:basedOn w:val="Normal"/>
    <w:next w:val="Normal"/>
    <w:qFormat/>
    <w:rsid w:val="0024584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rsid w:val="00245843"/>
    <w:pPr>
      <w:keepNext/>
      <w:keepLines/>
      <w:spacing w:before="240" w:after="80"/>
      <w:outlineLvl w:val="4"/>
    </w:pPr>
    <w:rPr>
      <w:i/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215B92"/>
    <w:pPr>
      <w:keepNext/>
      <w:keepLines/>
      <w:jc w:val="center"/>
    </w:pPr>
    <w:rPr>
      <w:b/>
      <w:color w:val="0076BC"/>
      <w:sz w:val="44"/>
      <w:szCs w:val="36"/>
    </w:rPr>
  </w:style>
  <w:style w:type="paragraph" w:styleId="Subtitle">
    <w:name w:val="Subtitle"/>
    <w:basedOn w:val="Normal"/>
    <w:next w:val="Normal"/>
    <w:qFormat/>
    <w:rsid w:val="00215B92"/>
    <w:pPr>
      <w:keepNext/>
      <w:keepLines/>
      <w:spacing w:after="320"/>
      <w:jc w:val="center"/>
    </w:pPr>
    <w:rPr>
      <w:rFonts w:ascii="Arial" w:eastAsia="Arial" w:hAnsi="Arial" w:cs="Arial"/>
      <w:i/>
      <w:noProof/>
      <w:color w:val="0076BC"/>
      <w:sz w:val="28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A2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9BE"/>
  </w:style>
  <w:style w:type="paragraph" w:styleId="Footer">
    <w:name w:val="footer"/>
    <w:basedOn w:val="Normal"/>
    <w:link w:val="FooterChar"/>
    <w:uiPriority w:val="99"/>
    <w:unhideWhenUsed/>
    <w:rsid w:val="001A2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9BE"/>
  </w:style>
  <w:style w:type="paragraph" w:styleId="NoSpacing">
    <w:name w:val="No Spacing"/>
    <w:uiPriority w:val="1"/>
    <w:qFormat/>
    <w:rsid w:val="0070218B"/>
  </w:style>
  <w:style w:type="character" w:styleId="IntenseEmphasis">
    <w:name w:val="Intense Emphasis"/>
    <w:basedOn w:val="DefaultParagraphFont"/>
    <w:uiPriority w:val="21"/>
    <w:qFormat/>
    <w:rsid w:val="0070218B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006E8"/>
    <w:pPr>
      <w:ind w:left="720"/>
      <w:contextualSpacing/>
    </w:pPr>
  </w:style>
  <w:style w:type="paragraph" w:customStyle="1" w:styleId="TableHeadCenterTablesandCharts">
    <w:name w:val="Table Head Center (Tables and Charts)"/>
    <w:basedOn w:val="Normal"/>
    <w:uiPriority w:val="99"/>
    <w:rsid w:val="00A04CDA"/>
    <w:pPr>
      <w:suppressAutoHyphens/>
      <w:autoSpaceDE w:val="0"/>
      <w:autoSpaceDN w:val="0"/>
      <w:adjustRightInd w:val="0"/>
      <w:spacing w:after="90" w:line="220" w:lineRule="atLeast"/>
      <w:jc w:val="center"/>
      <w:textAlignment w:val="center"/>
    </w:pPr>
    <w:rPr>
      <w:rFonts w:eastAsiaTheme="minorHAnsi"/>
      <w:b/>
      <w:bCs/>
      <w:color w:val="FFFFFF"/>
    </w:rPr>
  </w:style>
  <w:style w:type="paragraph" w:customStyle="1" w:styleId="TableTextTablesandCharts">
    <w:name w:val="Table Text (Tables and Charts)"/>
    <w:basedOn w:val="Normal"/>
    <w:uiPriority w:val="99"/>
    <w:rsid w:val="00A04CDA"/>
    <w:pPr>
      <w:suppressAutoHyphens/>
      <w:autoSpaceDE w:val="0"/>
      <w:autoSpaceDN w:val="0"/>
      <w:adjustRightInd w:val="0"/>
      <w:spacing w:after="90" w:line="220" w:lineRule="atLeast"/>
      <w:textAlignment w:val="center"/>
    </w:pPr>
    <w:rPr>
      <w:rFonts w:eastAsiaTheme="minorHAnsi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A0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A04CDA"/>
    <w:pPr>
      <w:spacing w:after="0"/>
    </w:pPr>
  </w:style>
  <w:style w:type="character" w:customStyle="1" w:styleId="TabletextChar">
    <w:name w:val="Table text Char"/>
    <w:basedOn w:val="DefaultParagraphFont"/>
    <w:link w:val="Tabletext"/>
    <w:rsid w:val="00A0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Piper Hale</dc:creator>
  <cp:lastModifiedBy>Piper Hale</cp:lastModifiedBy>
  <cp:revision>5</cp:revision>
  <dcterms:created xsi:type="dcterms:W3CDTF">2021-05-07T20:35:00Z</dcterms:created>
  <dcterms:modified xsi:type="dcterms:W3CDTF">2021-05-07T20:46:00Z</dcterms:modified>
</cp:coreProperties>
</file>