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1737515" w:displacedByCustomXml="next"/>
    <w:sdt>
      <w:sdtPr>
        <w:rPr>
          <w:b w:val="0"/>
          <w:sz w:val="22"/>
          <w:szCs w:val="22"/>
        </w:rPr>
        <w:id w:val="401720081"/>
        <w:docPartObj>
          <w:docPartGallery w:val="Cover Pages"/>
          <w:docPartUnique/>
        </w:docPartObj>
      </w:sdtPr>
      <w:sdtEndPr/>
      <w:sdtContent>
        <w:p w14:paraId="5E398E97" w14:textId="092360BF" w:rsidR="007E0FC1" w:rsidRDefault="00127BA2" w:rsidP="008342EF">
          <w:pPr>
            <w:pStyle w:val="Heading2"/>
          </w:pPr>
          <w:r>
            <w:rPr>
              <w:noProof/>
            </w:rPr>
            <w:drawing>
              <wp:anchor distT="0" distB="0" distL="114300" distR="114300" simplePos="0" relativeHeight="251664384" behindDoc="0" locked="0" layoutInCell="1" allowOverlap="1" wp14:anchorId="201CE129" wp14:editId="24FF91AA">
                <wp:simplePos x="0" y="0"/>
                <wp:positionH relativeFrom="page">
                  <wp:posOffset>228600</wp:posOffset>
                </wp:positionH>
                <wp:positionV relativeFrom="page">
                  <wp:posOffset>600075</wp:posOffset>
                </wp:positionV>
                <wp:extent cx="7322998" cy="28620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II Cover Template.png"/>
                        <pic:cNvPicPr/>
                      </pic:nvPicPr>
                      <pic:blipFill>
                        <a:blip r:embed="rId9">
                          <a:extLst>
                            <a:ext uri="{28A0092B-C50C-407E-A947-70E740481C1C}">
                              <a14:useLocalDpi xmlns:a14="http://schemas.microsoft.com/office/drawing/2010/main" val="0"/>
                            </a:ext>
                          </a:extLst>
                        </a:blip>
                        <a:stretch>
                          <a:fillRect/>
                        </a:stretch>
                      </pic:blipFill>
                      <pic:spPr>
                        <a:xfrm>
                          <a:off x="0" y="0"/>
                          <a:ext cx="7322998" cy="2862072"/>
                        </a:xfrm>
                        <a:prstGeom prst="rect">
                          <a:avLst/>
                        </a:prstGeom>
                      </pic:spPr>
                    </pic:pic>
                  </a:graphicData>
                </a:graphic>
                <wp14:sizeRelH relativeFrom="margin">
                  <wp14:pctWidth>0</wp14:pctWidth>
                </wp14:sizeRelH>
                <wp14:sizeRelV relativeFrom="margin">
                  <wp14:pctHeight>0</wp14:pctHeight>
                </wp14:sizeRelV>
              </wp:anchor>
            </w:drawing>
          </w:r>
          <w:bookmarkEnd w:id="1"/>
        </w:p>
        <w:p w14:paraId="64B711FA" w14:textId="15516EE3" w:rsidR="007E0FC1" w:rsidRDefault="0047026B">
          <w:pPr>
            <w:suppressAutoHyphens w:val="0"/>
            <w:autoSpaceDE/>
            <w:autoSpaceDN/>
            <w:adjustRightInd/>
            <w:spacing w:after="160" w:line="259" w:lineRule="auto"/>
            <w:textAlignment w:val="auto"/>
          </w:pPr>
          <w:r>
            <w:rPr>
              <w:b/>
              <w:noProof/>
            </w:rPr>
            <w:drawing>
              <wp:anchor distT="0" distB="0" distL="114300" distR="114300" simplePos="0" relativeHeight="251665408" behindDoc="0" locked="0" layoutInCell="1" allowOverlap="1" wp14:anchorId="7F4EB244" wp14:editId="57C98BBE">
                <wp:simplePos x="0" y="0"/>
                <wp:positionH relativeFrom="page">
                  <wp:posOffset>5549265</wp:posOffset>
                </wp:positionH>
                <wp:positionV relativeFrom="page">
                  <wp:posOffset>8849360</wp:posOffset>
                </wp:positionV>
                <wp:extent cx="1837944" cy="4580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II Logo.jpg"/>
                        <pic:cNvPicPr/>
                      </pic:nvPicPr>
                      <pic:blipFill>
                        <a:blip r:embed="rId10">
                          <a:extLst>
                            <a:ext uri="{28A0092B-C50C-407E-A947-70E740481C1C}">
                              <a14:useLocalDpi xmlns:a14="http://schemas.microsoft.com/office/drawing/2010/main" val="0"/>
                            </a:ext>
                          </a:extLst>
                        </a:blip>
                        <a:stretch>
                          <a:fillRect/>
                        </a:stretch>
                      </pic:blipFill>
                      <pic:spPr>
                        <a:xfrm>
                          <a:off x="0" y="0"/>
                          <a:ext cx="1837944" cy="458055"/>
                        </a:xfrm>
                        <a:prstGeom prst="rect">
                          <a:avLst/>
                        </a:prstGeom>
                      </pic:spPr>
                    </pic:pic>
                  </a:graphicData>
                </a:graphic>
                <wp14:sizeRelH relativeFrom="margin">
                  <wp14:pctWidth>0</wp14:pctWidth>
                </wp14:sizeRelH>
              </wp:anchor>
            </w:drawing>
          </w:r>
          <w:r w:rsidRPr="00DE32F5">
            <w:rPr>
              <w:b/>
              <w:noProof/>
            </w:rPr>
            <mc:AlternateContent>
              <mc:Choice Requires="wps">
                <w:drawing>
                  <wp:anchor distT="45720" distB="45720" distL="114300" distR="114300" simplePos="0" relativeHeight="251661312" behindDoc="0" locked="0" layoutInCell="1" allowOverlap="1" wp14:anchorId="6C221D4E" wp14:editId="5053F78F">
                    <wp:simplePos x="0" y="0"/>
                    <wp:positionH relativeFrom="page">
                      <wp:posOffset>2409825</wp:posOffset>
                    </wp:positionH>
                    <wp:positionV relativeFrom="page">
                      <wp:posOffset>3609975</wp:posOffset>
                    </wp:positionV>
                    <wp:extent cx="4452620" cy="1762125"/>
                    <wp:effectExtent l="0" t="0" r="508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1762125"/>
                            </a:xfrm>
                            <a:prstGeom prst="rect">
                              <a:avLst/>
                            </a:prstGeom>
                            <a:noFill/>
                            <a:ln w="9525">
                              <a:noFill/>
                              <a:miter lim="800000"/>
                              <a:headEnd/>
                              <a:tailEnd/>
                            </a:ln>
                          </wps:spPr>
                          <wps:txbx>
                            <w:txbxContent>
                              <w:p w14:paraId="73567E22" w14:textId="017A4203" w:rsidR="00F51319" w:rsidRDefault="00F51319" w:rsidP="00DE32F5">
                                <w:pPr>
                                  <w:pStyle w:val="SubtitleCoverPage"/>
                                </w:pPr>
                                <w:r w:rsidRPr="0047026B">
                                  <w:rPr>
                                    <w:b/>
                                    <w:bCs/>
                                    <w:i w:val="0"/>
                                    <w:iCs w:val="0"/>
                                    <w:sz w:val="56"/>
                                    <w:szCs w:val="56"/>
                                  </w:rPr>
                                  <w:t>A Facilitator’s Companion Guide to the Informatics-Savvy Health Department Self-Assessment</w:t>
                                </w:r>
                              </w:p>
                              <w:p w14:paraId="6A7669A7" w14:textId="384EE050" w:rsidR="00F51319" w:rsidRDefault="00F51319"/>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C221D4E" id="_x0000_t202" coordsize="21600,21600" o:spt="202" path="m,l,21600r21600,l21600,xe">
                    <v:stroke joinstyle="miter"/>
                    <v:path gradientshapeok="t" o:connecttype="rect"/>
                  </v:shapetype>
                  <v:shape id="Text Box 2" o:spid="_x0000_s1026" type="#_x0000_t202" style="position:absolute;margin-left:189.75pt;margin-top:284.25pt;width:350.6pt;height:138.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" filled="f" stroked="f">
                    <v:textbox inset="0,0,0,0">
                      <w:txbxContent>
                        <w:p w14:paraId="73567E22" w14:textId="017A4203" w:rsidR="00F51319" w:rsidRDefault="00F51319" w:rsidP="00DE32F5">
                          <w:pPr>
                            <w:pStyle w:val="SubtitleCoverPage"/>
                          </w:pPr>
                          <w:r w:rsidRPr="0047026B">
                            <w:rPr>
                              <w:b/>
                              <w:bCs/>
                              <w:i w:val="0"/>
                              <w:iCs w:val="0"/>
                              <w:sz w:val="56"/>
                              <w:szCs w:val="56"/>
                            </w:rPr>
                            <w:t>A Facilitator’s Companion Guide to the Informatics-Savvy Health Department Self-Assessment</w:t>
                          </w:r>
                        </w:p>
                        <w:p w14:paraId="6A7669A7" w14:textId="384EE050" w:rsidR="00F51319" w:rsidRDefault="00F51319"/>
                      </w:txbxContent>
                    </v:textbox>
                    <w10:wrap anchorx="page" anchory="page"/>
                  </v:shape>
                </w:pict>
              </mc:Fallback>
            </mc:AlternateContent>
          </w:r>
          <w:r w:rsidR="00DE32F5" w:rsidRPr="00DE32F5">
            <w:rPr>
              <w:b/>
              <w:noProof/>
            </w:rPr>
            <mc:AlternateContent>
              <mc:Choice Requires="wps">
                <w:drawing>
                  <wp:anchor distT="45720" distB="45720" distL="114300" distR="114300" simplePos="0" relativeHeight="251663360" behindDoc="0" locked="0" layoutInCell="1" allowOverlap="1" wp14:anchorId="63875F48" wp14:editId="6DCC4F6D">
                    <wp:simplePos x="0" y="0"/>
                    <wp:positionH relativeFrom="page">
                      <wp:posOffset>2404745</wp:posOffset>
                    </wp:positionH>
                    <wp:positionV relativeFrom="page">
                      <wp:posOffset>5394960</wp:posOffset>
                    </wp:positionV>
                    <wp:extent cx="2373630" cy="241300"/>
                    <wp:effectExtent l="0" t="0" r="381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41300"/>
                            </a:xfrm>
                            <a:prstGeom prst="rect">
                              <a:avLst/>
                            </a:prstGeom>
                            <a:noFill/>
                            <a:ln w="9525">
                              <a:noFill/>
                              <a:miter lim="800000"/>
                              <a:headEnd/>
                              <a:tailEnd/>
                            </a:ln>
                          </wps:spPr>
                          <wps:txbx>
                            <w:txbxContent>
                              <w:p w14:paraId="525118F4" w14:textId="0CA4F520" w:rsidR="00F51319" w:rsidRPr="00DE32F5" w:rsidRDefault="00F51319" w:rsidP="00DE32F5">
                                <w:pPr>
                                  <w:pStyle w:val="DateoncoverCoverPage"/>
                                </w:pPr>
                                <w:r>
                                  <w:t>February 2019</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63875F48" id="_x0000_s1027" type="#_x0000_t202" style="position:absolute;margin-left:189.35pt;margin-top:424.8pt;width:186.9pt;height:19pt;z-index:251663360;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" filled="f" stroked="f">
                    <v:textbox style="mso-fit-shape-to-text:t" inset="0,0,0,0">
                      <w:txbxContent>
                        <w:p w14:paraId="525118F4" w14:textId="0CA4F520" w:rsidR="00F51319" w:rsidRPr="00DE32F5" w:rsidRDefault="00F51319" w:rsidP="00DE32F5">
                          <w:pPr>
                            <w:pStyle w:val="DateoncoverCoverPage"/>
                          </w:pPr>
                          <w:r>
                            <w:t>February 2019</w:t>
                          </w:r>
                        </w:p>
                      </w:txbxContent>
                    </v:textbox>
                    <w10:wrap anchorx="page" anchory="page"/>
                  </v:shape>
                </w:pict>
              </mc:Fallback>
            </mc:AlternateContent>
          </w:r>
          <w:r w:rsidR="007E0FC1">
            <w:rPr>
              <w:b/>
              <w:noProof/>
            </w:rPr>
            <mc:AlternateContent>
              <mc:Choice Requires="wps">
                <w:drawing>
                  <wp:anchor distT="0" distB="0" distL="114300" distR="114300" simplePos="0" relativeHeight="251659264" behindDoc="1" locked="0" layoutInCell="1" allowOverlap="1" wp14:anchorId="08755A44" wp14:editId="3BB2952E">
                    <wp:simplePos x="0" y="0"/>
                    <wp:positionH relativeFrom="page">
                      <wp:posOffset>228600</wp:posOffset>
                    </wp:positionH>
                    <wp:positionV relativeFrom="page">
                      <wp:posOffset>3108960</wp:posOffset>
                    </wp:positionV>
                    <wp:extent cx="7315200" cy="2971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315200" cy="2971800"/>
                            </a:xfrm>
                            <a:prstGeom prst="rect">
                              <a:avLst/>
                            </a:prstGeom>
                            <a:solidFill>
                              <a:srgbClr val="186A9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6EDD551A" id="Rectangle 3" o:spid="_x0000_s1026" style="position:absolute;margin-left:18pt;margin-top:244.8pt;width:8in;height:2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" fillcolor="#186a9e" strokecolor="#1f3763 [1604]" strokeweight="1pt">
                    <w10:wrap anchorx="page" anchory="page"/>
                  </v:rect>
                </w:pict>
              </mc:Fallback>
            </mc:AlternateContent>
          </w:r>
          <w:r w:rsidR="007E0FC1">
            <w:rPr>
              <w:b/>
            </w:rPr>
            <w:br w:type="page"/>
          </w:r>
        </w:p>
      </w:sdtContent>
    </w:sdt>
    <w:sdt>
      <w:sdtPr>
        <w:rPr>
          <w:rFonts w:ascii="Calibri" w:eastAsiaTheme="minorHAnsi" w:hAnsi="Calibri" w:cs="Calibri"/>
          <w:color w:val="000000"/>
          <w:sz w:val="22"/>
          <w:szCs w:val="22"/>
        </w:rPr>
        <w:id w:val="-115141237"/>
        <w:docPartObj>
          <w:docPartGallery w:val="Table of Contents"/>
          <w:docPartUnique/>
        </w:docPartObj>
      </w:sdtPr>
      <w:sdtEndPr>
        <w:rPr>
          <w:b/>
          <w:bCs/>
          <w:noProof/>
        </w:rPr>
      </w:sdtEndPr>
      <w:sdtContent>
        <w:p w14:paraId="6FDF00FA" w14:textId="0FE8F938" w:rsidR="008B6042" w:rsidRPr="008B6042" w:rsidRDefault="008B6042">
          <w:pPr>
            <w:pStyle w:val="TOCHeading"/>
            <w:rPr>
              <w:rStyle w:val="Heading1Char"/>
            </w:rPr>
          </w:pPr>
          <w:r w:rsidRPr="008B6042">
            <w:rPr>
              <w:rStyle w:val="Heading1Char"/>
            </w:rPr>
            <w:t>Table of Contents</w:t>
          </w:r>
        </w:p>
        <w:p w14:paraId="1FE2A652" w14:textId="6D37BC88" w:rsidR="004633D9" w:rsidRDefault="008B6042" w:rsidP="004633D9">
          <w:pPr>
            <w:pStyle w:val="TOC2"/>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737516" w:history="1">
            <w:r w:rsidR="004633D9" w:rsidRPr="007A2AD7">
              <w:rPr>
                <w:rStyle w:val="Hyperlink"/>
                <w:noProof/>
              </w:rPr>
              <w:t>Acknowledgments</w:t>
            </w:r>
            <w:r w:rsidR="004633D9">
              <w:rPr>
                <w:noProof/>
                <w:webHidden/>
              </w:rPr>
              <w:tab/>
            </w:r>
            <w:r w:rsidR="004633D9">
              <w:rPr>
                <w:noProof/>
                <w:webHidden/>
              </w:rPr>
              <w:fldChar w:fldCharType="begin"/>
            </w:r>
            <w:r w:rsidR="004633D9">
              <w:rPr>
                <w:noProof/>
                <w:webHidden/>
              </w:rPr>
              <w:instrText xml:space="preserve"> PAGEREF _Toc1737516 \h </w:instrText>
            </w:r>
            <w:r w:rsidR="004633D9">
              <w:rPr>
                <w:noProof/>
                <w:webHidden/>
              </w:rPr>
            </w:r>
            <w:r w:rsidR="004633D9">
              <w:rPr>
                <w:noProof/>
                <w:webHidden/>
              </w:rPr>
              <w:fldChar w:fldCharType="separate"/>
            </w:r>
            <w:r w:rsidR="004633D9">
              <w:rPr>
                <w:noProof/>
                <w:webHidden/>
              </w:rPr>
              <w:t>3</w:t>
            </w:r>
            <w:r w:rsidR="004633D9">
              <w:rPr>
                <w:noProof/>
                <w:webHidden/>
              </w:rPr>
              <w:fldChar w:fldCharType="end"/>
            </w:r>
          </w:hyperlink>
        </w:p>
        <w:p w14:paraId="55136723" w14:textId="515881C1" w:rsidR="004633D9" w:rsidRDefault="00FE0BB6">
          <w:pPr>
            <w:pStyle w:val="TOC1"/>
            <w:tabs>
              <w:tab w:val="right" w:leader="dot" w:pos="9350"/>
            </w:tabs>
            <w:rPr>
              <w:rFonts w:asciiTheme="minorHAnsi" w:eastAsiaTheme="minorEastAsia" w:hAnsiTheme="minorHAnsi" w:cstheme="minorBidi"/>
              <w:noProof/>
              <w:color w:val="auto"/>
            </w:rPr>
          </w:pPr>
          <w:hyperlink w:anchor="_Toc1737517" w:history="1">
            <w:r w:rsidR="004633D9" w:rsidRPr="007A2AD7">
              <w:rPr>
                <w:rStyle w:val="Hyperlink"/>
                <w:noProof/>
              </w:rPr>
              <w:t>How to read this guide</w:t>
            </w:r>
            <w:r w:rsidR="004633D9">
              <w:rPr>
                <w:noProof/>
                <w:webHidden/>
              </w:rPr>
              <w:tab/>
            </w:r>
            <w:r w:rsidR="004633D9">
              <w:rPr>
                <w:noProof/>
                <w:webHidden/>
              </w:rPr>
              <w:fldChar w:fldCharType="begin"/>
            </w:r>
            <w:r w:rsidR="004633D9">
              <w:rPr>
                <w:noProof/>
                <w:webHidden/>
              </w:rPr>
              <w:instrText xml:space="preserve"> PAGEREF _Toc1737517 \h </w:instrText>
            </w:r>
            <w:r w:rsidR="004633D9">
              <w:rPr>
                <w:noProof/>
                <w:webHidden/>
              </w:rPr>
            </w:r>
            <w:r w:rsidR="004633D9">
              <w:rPr>
                <w:noProof/>
                <w:webHidden/>
              </w:rPr>
              <w:fldChar w:fldCharType="separate"/>
            </w:r>
            <w:r w:rsidR="004633D9">
              <w:rPr>
                <w:noProof/>
                <w:webHidden/>
              </w:rPr>
              <w:t>3</w:t>
            </w:r>
            <w:r w:rsidR="004633D9">
              <w:rPr>
                <w:noProof/>
                <w:webHidden/>
              </w:rPr>
              <w:fldChar w:fldCharType="end"/>
            </w:r>
          </w:hyperlink>
        </w:p>
        <w:p w14:paraId="64689144" w14:textId="7F7CC5F1" w:rsidR="004633D9" w:rsidRDefault="00FE0BB6" w:rsidP="004633D9">
          <w:pPr>
            <w:pStyle w:val="TOC2"/>
            <w:rPr>
              <w:rFonts w:asciiTheme="minorHAnsi" w:eastAsiaTheme="minorEastAsia" w:hAnsiTheme="minorHAnsi" w:cstheme="minorBidi"/>
              <w:noProof/>
              <w:color w:val="auto"/>
            </w:rPr>
          </w:pPr>
          <w:hyperlink w:anchor="_Toc1737518" w:history="1">
            <w:r w:rsidR="004633D9" w:rsidRPr="007A2AD7">
              <w:rPr>
                <w:rStyle w:val="Hyperlink"/>
                <w:noProof/>
              </w:rPr>
              <w:t>Related resources</w:t>
            </w:r>
            <w:r w:rsidR="004633D9">
              <w:rPr>
                <w:noProof/>
                <w:webHidden/>
              </w:rPr>
              <w:tab/>
            </w:r>
            <w:r w:rsidR="004633D9">
              <w:rPr>
                <w:noProof/>
                <w:webHidden/>
              </w:rPr>
              <w:fldChar w:fldCharType="begin"/>
            </w:r>
            <w:r w:rsidR="004633D9">
              <w:rPr>
                <w:noProof/>
                <w:webHidden/>
              </w:rPr>
              <w:instrText xml:space="preserve"> PAGEREF _Toc1737518 \h </w:instrText>
            </w:r>
            <w:r w:rsidR="004633D9">
              <w:rPr>
                <w:noProof/>
                <w:webHidden/>
              </w:rPr>
            </w:r>
            <w:r w:rsidR="004633D9">
              <w:rPr>
                <w:noProof/>
                <w:webHidden/>
              </w:rPr>
              <w:fldChar w:fldCharType="separate"/>
            </w:r>
            <w:r w:rsidR="004633D9">
              <w:rPr>
                <w:noProof/>
                <w:webHidden/>
              </w:rPr>
              <w:t>3</w:t>
            </w:r>
            <w:r w:rsidR="004633D9">
              <w:rPr>
                <w:noProof/>
                <w:webHidden/>
              </w:rPr>
              <w:fldChar w:fldCharType="end"/>
            </w:r>
          </w:hyperlink>
        </w:p>
        <w:p w14:paraId="1A99B898" w14:textId="4BAD70D0" w:rsidR="004633D9" w:rsidRDefault="00FE0BB6">
          <w:pPr>
            <w:pStyle w:val="TOC1"/>
            <w:tabs>
              <w:tab w:val="right" w:leader="dot" w:pos="9350"/>
            </w:tabs>
            <w:rPr>
              <w:rFonts w:asciiTheme="minorHAnsi" w:eastAsiaTheme="minorEastAsia" w:hAnsiTheme="minorHAnsi" w:cstheme="minorBidi"/>
              <w:noProof/>
              <w:color w:val="auto"/>
            </w:rPr>
          </w:pPr>
          <w:hyperlink w:anchor="_Toc1737519" w:history="1">
            <w:r w:rsidR="004633D9" w:rsidRPr="007A2AD7">
              <w:rPr>
                <w:rStyle w:val="Hyperlink"/>
                <w:noProof/>
              </w:rPr>
              <w:t>Understanding the informatics-savvy health department self-assessment tool</w:t>
            </w:r>
            <w:r w:rsidR="004633D9">
              <w:rPr>
                <w:noProof/>
                <w:webHidden/>
              </w:rPr>
              <w:tab/>
            </w:r>
            <w:r w:rsidR="004633D9">
              <w:rPr>
                <w:noProof/>
                <w:webHidden/>
              </w:rPr>
              <w:fldChar w:fldCharType="begin"/>
            </w:r>
            <w:r w:rsidR="004633D9">
              <w:rPr>
                <w:noProof/>
                <w:webHidden/>
              </w:rPr>
              <w:instrText xml:space="preserve"> PAGEREF _Toc1737519 \h </w:instrText>
            </w:r>
            <w:r w:rsidR="004633D9">
              <w:rPr>
                <w:noProof/>
                <w:webHidden/>
              </w:rPr>
            </w:r>
            <w:r w:rsidR="004633D9">
              <w:rPr>
                <w:noProof/>
                <w:webHidden/>
              </w:rPr>
              <w:fldChar w:fldCharType="separate"/>
            </w:r>
            <w:r w:rsidR="004633D9">
              <w:rPr>
                <w:noProof/>
                <w:webHidden/>
              </w:rPr>
              <w:t>4</w:t>
            </w:r>
            <w:r w:rsidR="004633D9">
              <w:rPr>
                <w:noProof/>
                <w:webHidden/>
              </w:rPr>
              <w:fldChar w:fldCharType="end"/>
            </w:r>
          </w:hyperlink>
        </w:p>
        <w:p w14:paraId="164B5F5C" w14:textId="6C0D8804" w:rsidR="004633D9" w:rsidRDefault="00FE0BB6">
          <w:pPr>
            <w:pStyle w:val="TOC3"/>
            <w:tabs>
              <w:tab w:val="right" w:leader="dot" w:pos="9350"/>
            </w:tabs>
            <w:rPr>
              <w:rFonts w:asciiTheme="minorHAnsi" w:eastAsiaTheme="minorEastAsia" w:hAnsiTheme="minorHAnsi" w:cstheme="minorBidi"/>
              <w:noProof/>
              <w:color w:val="auto"/>
            </w:rPr>
          </w:pPr>
          <w:hyperlink w:anchor="_Toc1737520" w:history="1">
            <w:r w:rsidR="004633D9" w:rsidRPr="007A2AD7">
              <w:rPr>
                <w:rStyle w:val="Hyperlink"/>
                <w:noProof/>
              </w:rPr>
              <w:t>Table 1. Capability Maturity Model (CMM) levels (adapted)</w:t>
            </w:r>
            <w:r w:rsidR="004633D9">
              <w:rPr>
                <w:noProof/>
                <w:webHidden/>
              </w:rPr>
              <w:tab/>
            </w:r>
            <w:r w:rsidR="004633D9">
              <w:rPr>
                <w:noProof/>
                <w:webHidden/>
              </w:rPr>
              <w:fldChar w:fldCharType="begin"/>
            </w:r>
            <w:r w:rsidR="004633D9">
              <w:rPr>
                <w:noProof/>
                <w:webHidden/>
              </w:rPr>
              <w:instrText xml:space="preserve"> PAGEREF _Toc1737520 \h </w:instrText>
            </w:r>
            <w:r w:rsidR="004633D9">
              <w:rPr>
                <w:noProof/>
                <w:webHidden/>
              </w:rPr>
            </w:r>
            <w:r w:rsidR="004633D9">
              <w:rPr>
                <w:noProof/>
                <w:webHidden/>
              </w:rPr>
              <w:fldChar w:fldCharType="separate"/>
            </w:r>
            <w:r w:rsidR="004633D9">
              <w:rPr>
                <w:noProof/>
                <w:webHidden/>
              </w:rPr>
              <w:t>5</w:t>
            </w:r>
            <w:r w:rsidR="004633D9">
              <w:rPr>
                <w:noProof/>
                <w:webHidden/>
              </w:rPr>
              <w:fldChar w:fldCharType="end"/>
            </w:r>
          </w:hyperlink>
        </w:p>
        <w:p w14:paraId="6496127A" w14:textId="6D70ED39" w:rsidR="004633D9" w:rsidRDefault="00FE0BB6">
          <w:pPr>
            <w:pStyle w:val="TOC3"/>
            <w:tabs>
              <w:tab w:val="right" w:leader="dot" w:pos="9350"/>
            </w:tabs>
            <w:rPr>
              <w:rFonts w:asciiTheme="minorHAnsi" w:eastAsiaTheme="minorEastAsia" w:hAnsiTheme="minorHAnsi" w:cstheme="minorBidi"/>
              <w:noProof/>
              <w:color w:val="auto"/>
            </w:rPr>
          </w:pPr>
          <w:hyperlink w:anchor="_Toc1737521" w:history="1">
            <w:r w:rsidR="004633D9" w:rsidRPr="007A2AD7">
              <w:rPr>
                <w:rStyle w:val="Hyperlink"/>
                <w:noProof/>
              </w:rPr>
              <w:t>Table 2. Using the informatics-savvy health department self-assessment tool</w:t>
            </w:r>
            <w:r w:rsidR="004633D9">
              <w:rPr>
                <w:noProof/>
                <w:webHidden/>
              </w:rPr>
              <w:tab/>
            </w:r>
            <w:r w:rsidR="004633D9">
              <w:rPr>
                <w:noProof/>
                <w:webHidden/>
              </w:rPr>
              <w:fldChar w:fldCharType="begin"/>
            </w:r>
            <w:r w:rsidR="004633D9">
              <w:rPr>
                <w:noProof/>
                <w:webHidden/>
              </w:rPr>
              <w:instrText xml:space="preserve"> PAGEREF _Toc1737521 \h </w:instrText>
            </w:r>
            <w:r w:rsidR="004633D9">
              <w:rPr>
                <w:noProof/>
                <w:webHidden/>
              </w:rPr>
            </w:r>
            <w:r w:rsidR="004633D9">
              <w:rPr>
                <w:noProof/>
                <w:webHidden/>
              </w:rPr>
              <w:fldChar w:fldCharType="separate"/>
            </w:r>
            <w:r w:rsidR="004633D9">
              <w:rPr>
                <w:noProof/>
                <w:webHidden/>
              </w:rPr>
              <w:t>6</w:t>
            </w:r>
            <w:r w:rsidR="004633D9">
              <w:rPr>
                <w:noProof/>
                <w:webHidden/>
              </w:rPr>
              <w:fldChar w:fldCharType="end"/>
            </w:r>
          </w:hyperlink>
        </w:p>
        <w:p w14:paraId="6C4FCC27" w14:textId="58F07868" w:rsidR="004633D9" w:rsidRDefault="00FE0BB6">
          <w:pPr>
            <w:pStyle w:val="TOC1"/>
            <w:tabs>
              <w:tab w:val="right" w:leader="dot" w:pos="9350"/>
            </w:tabs>
            <w:rPr>
              <w:rFonts w:asciiTheme="minorHAnsi" w:eastAsiaTheme="minorEastAsia" w:hAnsiTheme="minorHAnsi" w:cstheme="minorBidi"/>
              <w:noProof/>
              <w:color w:val="auto"/>
            </w:rPr>
          </w:pPr>
          <w:hyperlink w:anchor="_Toc1737522" w:history="1">
            <w:r w:rsidR="004633D9" w:rsidRPr="007A2AD7">
              <w:rPr>
                <w:rStyle w:val="Hyperlink"/>
                <w:noProof/>
              </w:rPr>
              <w:t>Selecting meeting scope and format</w:t>
            </w:r>
            <w:r w:rsidR="004633D9">
              <w:rPr>
                <w:noProof/>
                <w:webHidden/>
              </w:rPr>
              <w:tab/>
            </w:r>
            <w:r w:rsidR="004633D9">
              <w:rPr>
                <w:noProof/>
                <w:webHidden/>
              </w:rPr>
              <w:fldChar w:fldCharType="begin"/>
            </w:r>
            <w:r w:rsidR="004633D9">
              <w:rPr>
                <w:noProof/>
                <w:webHidden/>
              </w:rPr>
              <w:instrText xml:space="preserve"> PAGEREF _Toc1737522 \h </w:instrText>
            </w:r>
            <w:r w:rsidR="004633D9">
              <w:rPr>
                <w:noProof/>
                <w:webHidden/>
              </w:rPr>
            </w:r>
            <w:r w:rsidR="004633D9">
              <w:rPr>
                <w:noProof/>
                <w:webHidden/>
              </w:rPr>
              <w:fldChar w:fldCharType="separate"/>
            </w:r>
            <w:r w:rsidR="004633D9">
              <w:rPr>
                <w:noProof/>
                <w:webHidden/>
              </w:rPr>
              <w:t>7</w:t>
            </w:r>
            <w:r w:rsidR="004633D9">
              <w:rPr>
                <w:noProof/>
                <w:webHidden/>
              </w:rPr>
              <w:fldChar w:fldCharType="end"/>
            </w:r>
          </w:hyperlink>
        </w:p>
        <w:p w14:paraId="4C57DB58" w14:textId="296E5C5C" w:rsidR="004633D9" w:rsidRDefault="00FE0BB6" w:rsidP="004633D9">
          <w:pPr>
            <w:pStyle w:val="TOC2"/>
            <w:rPr>
              <w:rFonts w:asciiTheme="minorHAnsi" w:eastAsiaTheme="minorEastAsia" w:hAnsiTheme="minorHAnsi" w:cstheme="minorBidi"/>
              <w:noProof/>
              <w:color w:val="auto"/>
            </w:rPr>
          </w:pPr>
          <w:hyperlink w:anchor="_Toc1737523" w:history="1">
            <w:r w:rsidR="004633D9" w:rsidRPr="007A2AD7">
              <w:rPr>
                <w:rStyle w:val="Hyperlink"/>
                <w:noProof/>
              </w:rPr>
              <w:t>Scope of the meeting</w:t>
            </w:r>
            <w:r w:rsidR="004633D9">
              <w:rPr>
                <w:noProof/>
                <w:webHidden/>
              </w:rPr>
              <w:tab/>
            </w:r>
            <w:r w:rsidR="004633D9">
              <w:rPr>
                <w:noProof/>
                <w:webHidden/>
              </w:rPr>
              <w:fldChar w:fldCharType="begin"/>
            </w:r>
            <w:r w:rsidR="004633D9">
              <w:rPr>
                <w:noProof/>
                <w:webHidden/>
              </w:rPr>
              <w:instrText xml:space="preserve"> PAGEREF _Toc1737523 \h </w:instrText>
            </w:r>
            <w:r w:rsidR="004633D9">
              <w:rPr>
                <w:noProof/>
                <w:webHidden/>
              </w:rPr>
            </w:r>
            <w:r w:rsidR="004633D9">
              <w:rPr>
                <w:noProof/>
                <w:webHidden/>
              </w:rPr>
              <w:fldChar w:fldCharType="separate"/>
            </w:r>
            <w:r w:rsidR="004633D9">
              <w:rPr>
                <w:noProof/>
                <w:webHidden/>
              </w:rPr>
              <w:t>7</w:t>
            </w:r>
            <w:r w:rsidR="004633D9">
              <w:rPr>
                <w:noProof/>
                <w:webHidden/>
              </w:rPr>
              <w:fldChar w:fldCharType="end"/>
            </w:r>
          </w:hyperlink>
        </w:p>
        <w:p w14:paraId="61869D74" w14:textId="549FB8A8" w:rsidR="004633D9" w:rsidRDefault="00FE0BB6" w:rsidP="004633D9">
          <w:pPr>
            <w:pStyle w:val="TOC2"/>
            <w:rPr>
              <w:rFonts w:asciiTheme="minorHAnsi" w:eastAsiaTheme="minorEastAsia" w:hAnsiTheme="minorHAnsi" w:cstheme="minorBidi"/>
              <w:noProof/>
              <w:color w:val="auto"/>
            </w:rPr>
          </w:pPr>
          <w:hyperlink w:anchor="_Toc1737524" w:history="1">
            <w:r w:rsidR="004633D9" w:rsidRPr="007A2AD7">
              <w:rPr>
                <w:rStyle w:val="Hyperlink"/>
                <w:noProof/>
              </w:rPr>
              <w:t>Format of the meeting</w:t>
            </w:r>
            <w:r w:rsidR="004633D9">
              <w:rPr>
                <w:noProof/>
                <w:webHidden/>
              </w:rPr>
              <w:tab/>
            </w:r>
            <w:r w:rsidR="004633D9">
              <w:rPr>
                <w:noProof/>
                <w:webHidden/>
              </w:rPr>
              <w:fldChar w:fldCharType="begin"/>
            </w:r>
            <w:r w:rsidR="004633D9">
              <w:rPr>
                <w:noProof/>
                <w:webHidden/>
              </w:rPr>
              <w:instrText xml:space="preserve"> PAGEREF _Toc1737524 \h </w:instrText>
            </w:r>
            <w:r w:rsidR="004633D9">
              <w:rPr>
                <w:noProof/>
                <w:webHidden/>
              </w:rPr>
            </w:r>
            <w:r w:rsidR="004633D9">
              <w:rPr>
                <w:noProof/>
                <w:webHidden/>
              </w:rPr>
              <w:fldChar w:fldCharType="separate"/>
            </w:r>
            <w:r w:rsidR="004633D9">
              <w:rPr>
                <w:noProof/>
                <w:webHidden/>
              </w:rPr>
              <w:t>8</w:t>
            </w:r>
            <w:r w:rsidR="004633D9">
              <w:rPr>
                <w:noProof/>
                <w:webHidden/>
              </w:rPr>
              <w:fldChar w:fldCharType="end"/>
            </w:r>
          </w:hyperlink>
        </w:p>
        <w:p w14:paraId="045346DB" w14:textId="02829A8B" w:rsidR="004633D9" w:rsidRDefault="00FE0BB6">
          <w:pPr>
            <w:pStyle w:val="TOC1"/>
            <w:tabs>
              <w:tab w:val="right" w:leader="dot" w:pos="9350"/>
            </w:tabs>
            <w:rPr>
              <w:rFonts w:asciiTheme="minorHAnsi" w:eastAsiaTheme="minorEastAsia" w:hAnsiTheme="minorHAnsi" w:cstheme="minorBidi"/>
              <w:noProof/>
              <w:color w:val="auto"/>
            </w:rPr>
          </w:pPr>
          <w:hyperlink w:anchor="_Toc1737525" w:history="1">
            <w:r w:rsidR="004633D9" w:rsidRPr="007A2AD7">
              <w:rPr>
                <w:rStyle w:val="Hyperlink"/>
                <w:noProof/>
              </w:rPr>
              <w:t>Preparing for the meeting</w:t>
            </w:r>
            <w:r w:rsidR="004633D9">
              <w:rPr>
                <w:noProof/>
                <w:webHidden/>
              </w:rPr>
              <w:tab/>
            </w:r>
            <w:r w:rsidR="004633D9">
              <w:rPr>
                <w:noProof/>
                <w:webHidden/>
              </w:rPr>
              <w:fldChar w:fldCharType="begin"/>
            </w:r>
            <w:r w:rsidR="004633D9">
              <w:rPr>
                <w:noProof/>
                <w:webHidden/>
              </w:rPr>
              <w:instrText xml:space="preserve"> PAGEREF _Toc1737525 \h </w:instrText>
            </w:r>
            <w:r w:rsidR="004633D9">
              <w:rPr>
                <w:noProof/>
                <w:webHidden/>
              </w:rPr>
            </w:r>
            <w:r w:rsidR="004633D9">
              <w:rPr>
                <w:noProof/>
                <w:webHidden/>
              </w:rPr>
              <w:fldChar w:fldCharType="separate"/>
            </w:r>
            <w:r w:rsidR="004633D9">
              <w:rPr>
                <w:noProof/>
                <w:webHidden/>
              </w:rPr>
              <w:t>9</w:t>
            </w:r>
            <w:r w:rsidR="004633D9">
              <w:rPr>
                <w:noProof/>
                <w:webHidden/>
              </w:rPr>
              <w:fldChar w:fldCharType="end"/>
            </w:r>
          </w:hyperlink>
        </w:p>
        <w:p w14:paraId="09D1FFA0" w14:textId="5A2CD914" w:rsidR="004633D9" w:rsidRDefault="00FE0BB6" w:rsidP="004633D9">
          <w:pPr>
            <w:pStyle w:val="TOC2"/>
            <w:rPr>
              <w:rFonts w:asciiTheme="minorHAnsi" w:eastAsiaTheme="minorEastAsia" w:hAnsiTheme="minorHAnsi" w:cstheme="minorBidi"/>
              <w:noProof/>
              <w:color w:val="auto"/>
            </w:rPr>
          </w:pPr>
          <w:hyperlink w:anchor="_Toc1737526" w:history="1">
            <w:r w:rsidR="004633D9" w:rsidRPr="007A2AD7">
              <w:rPr>
                <w:rStyle w:val="Hyperlink"/>
                <w:noProof/>
              </w:rPr>
              <w:t>Who to invite</w:t>
            </w:r>
            <w:r w:rsidR="004633D9">
              <w:rPr>
                <w:noProof/>
                <w:webHidden/>
              </w:rPr>
              <w:tab/>
            </w:r>
            <w:r w:rsidR="004633D9">
              <w:rPr>
                <w:noProof/>
                <w:webHidden/>
              </w:rPr>
              <w:fldChar w:fldCharType="begin"/>
            </w:r>
            <w:r w:rsidR="004633D9">
              <w:rPr>
                <w:noProof/>
                <w:webHidden/>
              </w:rPr>
              <w:instrText xml:space="preserve"> PAGEREF _Toc1737526 \h </w:instrText>
            </w:r>
            <w:r w:rsidR="004633D9">
              <w:rPr>
                <w:noProof/>
                <w:webHidden/>
              </w:rPr>
            </w:r>
            <w:r w:rsidR="004633D9">
              <w:rPr>
                <w:noProof/>
                <w:webHidden/>
              </w:rPr>
              <w:fldChar w:fldCharType="separate"/>
            </w:r>
            <w:r w:rsidR="004633D9">
              <w:rPr>
                <w:noProof/>
                <w:webHidden/>
              </w:rPr>
              <w:t>9</w:t>
            </w:r>
            <w:r w:rsidR="004633D9">
              <w:rPr>
                <w:noProof/>
                <w:webHidden/>
              </w:rPr>
              <w:fldChar w:fldCharType="end"/>
            </w:r>
          </w:hyperlink>
        </w:p>
        <w:p w14:paraId="58485C37" w14:textId="3A5F4FBE" w:rsidR="004633D9" w:rsidRDefault="00FE0BB6" w:rsidP="004633D9">
          <w:pPr>
            <w:pStyle w:val="TOC2"/>
            <w:rPr>
              <w:rFonts w:asciiTheme="minorHAnsi" w:eastAsiaTheme="minorEastAsia" w:hAnsiTheme="minorHAnsi" w:cstheme="minorBidi"/>
              <w:noProof/>
              <w:color w:val="auto"/>
            </w:rPr>
          </w:pPr>
          <w:hyperlink w:anchor="_Toc1737527" w:history="1">
            <w:r w:rsidR="004633D9" w:rsidRPr="007A2AD7">
              <w:rPr>
                <w:rStyle w:val="Hyperlink"/>
                <w:noProof/>
              </w:rPr>
              <w:t>Planning steps</w:t>
            </w:r>
            <w:r w:rsidR="004633D9">
              <w:rPr>
                <w:noProof/>
                <w:webHidden/>
              </w:rPr>
              <w:tab/>
            </w:r>
            <w:r w:rsidR="004633D9">
              <w:rPr>
                <w:noProof/>
                <w:webHidden/>
              </w:rPr>
              <w:fldChar w:fldCharType="begin"/>
            </w:r>
            <w:r w:rsidR="004633D9">
              <w:rPr>
                <w:noProof/>
                <w:webHidden/>
              </w:rPr>
              <w:instrText xml:space="preserve"> PAGEREF _Toc1737527 \h </w:instrText>
            </w:r>
            <w:r w:rsidR="004633D9">
              <w:rPr>
                <w:noProof/>
                <w:webHidden/>
              </w:rPr>
            </w:r>
            <w:r w:rsidR="004633D9">
              <w:rPr>
                <w:noProof/>
                <w:webHidden/>
              </w:rPr>
              <w:fldChar w:fldCharType="separate"/>
            </w:r>
            <w:r w:rsidR="004633D9">
              <w:rPr>
                <w:noProof/>
                <w:webHidden/>
              </w:rPr>
              <w:t>9</w:t>
            </w:r>
            <w:r w:rsidR="004633D9">
              <w:rPr>
                <w:noProof/>
                <w:webHidden/>
              </w:rPr>
              <w:fldChar w:fldCharType="end"/>
            </w:r>
          </w:hyperlink>
        </w:p>
        <w:p w14:paraId="6B068192" w14:textId="4DD2C9C0" w:rsidR="004633D9" w:rsidRDefault="00FE0BB6" w:rsidP="004633D9">
          <w:pPr>
            <w:pStyle w:val="TOC2"/>
            <w:rPr>
              <w:rFonts w:asciiTheme="minorHAnsi" w:eastAsiaTheme="minorEastAsia" w:hAnsiTheme="minorHAnsi" w:cstheme="minorBidi"/>
              <w:noProof/>
              <w:color w:val="auto"/>
            </w:rPr>
          </w:pPr>
          <w:hyperlink w:anchor="_Toc1737528" w:history="1">
            <w:r w:rsidR="004633D9" w:rsidRPr="007A2AD7">
              <w:rPr>
                <w:rStyle w:val="Hyperlink"/>
                <w:noProof/>
              </w:rPr>
              <w:t>Roles and responsibilities</w:t>
            </w:r>
            <w:r w:rsidR="004633D9">
              <w:rPr>
                <w:noProof/>
                <w:webHidden/>
              </w:rPr>
              <w:tab/>
            </w:r>
            <w:r w:rsidR="004633D9">
              <w:rPr>
                <w:noProof/>
                <w:webHidden/>
              </w:rPr>
              <w:fldChar w:fldCharType="begin"/>
            </w:r>
            <w:r w:rsidR="004633D9">
              <w:rPr>
                <w:noProof/>
                <w:webHidden/>
              </w:rPr>
              <w:instrText xml:space="preserve"> PAGEREF _Toc1737528 \h </w:instrText>
            </w:r>
            <w:r w:rsidR="004633D9">
              <w:rPr>
                <w:noProof/>
                <w:webHidden/>
              </w:rPr>
            </w:r>
            <w:r w:rsidR="004633D9">
              <w:rPr>
                <w:noProof/>
                <w:webHidden/>
              </w:rPr>
              <w:fldChar w:fldCharType="separate"/>
            </w:r>
            <w:r w:rsidR="004633D9">
              <w:rPr>
                <w:noProof/>
                <w:webHidden/>
              </w:rPr>
              <w:t>11</w:t>
            </w:r>
            <w:r w:rsidR="004633D9">
              <w:rPr>
                <w:noProof/>
                <w:webHidden/>
              </w:rPr>
              <w:fldChar w:fldCharType="end"/>
            </w:r>
          </w:hyperlink>
        </w:p>
        <w:p w14:paraId="73A5A4D6" w14:textId="170B5290" w:rsidR="004633D9" w:rsidRDefault="00FE0BB6">
          <w:pPr>
            <w:pStyle w:val="TOC3"/>
            <w:tabs>
              <w:tab w:val="right" w:leader="dot" w:pos="9350"/>
            </w:tabs>
            <w:rPr>
              <w:rFonts w:asciiTheme="minorHAnsi" w:eastAsiaTheme="minorEastAsia" w:hAnsiTheme="minorHAnsi" w:cstheme="minorBidi"/>
              <w:noProof/>
              <w:color w:val="auto"/>
            </w:rPr>
          </w:pPr>
          <w:hyperlink w:anchor="_Toc1737529" w:history="1">
            <w:r w:rsidR="004633D9" w:rsidRPr="007A2AD7">
              <w:rPr>
                <w:rStyle w:val="Hyperlink"/>
                <w:noProof/>
              </w:rPr>
              <w:t>Table 3. Roles and responsibilities</w:t>
            </w:r>
            <w:r w:rsidR="004633D9">
              <w:rPr>
                <w:noProof/>
                <w:webHidden/>
              </w:rPr>
              <w:tab/>
            </w:r>
            <w:r w:rsidR="004633D9">
              <w:rPr>
                <w:noProof/>
                <w:webHidden/>
              </w:rPr>
              <w:fldChar w:fldCharType="begin"/>
            </w:r>
            <w:r w:rsidR="004633D9">
              <w:rPr>
                <w:noProof/>
                <w:webHidden/>
              </w:rPr>
              <w:instrText xml:space="preserve"> PAGEREF _Toc1737529 \h </w:instrText>
            </w:r>
            <w:r w:rsidR="004633D9">
              <w:rPr>
                <w:noProof/>
                <w:webHidden/>
              </w:rPr>
            </w:r>
            <w:r w:rsidR="004633D9">
              <w:rPr>
                <w:noProof/>
                <w:webHidden/>
              </w:rPr>
              <w:fldChar w:fldCharType="separate"/>
            </w:r>
            <w:r w:rsidR="004633D9">
              <w:rPr>
                <w:noProof/>
                <w:webHidden/>
              </w:rPr>
              <w:t>11</w:t>
            </w:r>
            <w:r w:rsidR="004633D9">
              <w:rPr>
                <w:noProof/>
                <w:webHidden/>
              </w:rPr>
              <w:fldChar w:fldCharType="end"/>
            </w:r>
          </w:hyperlink>
        </w:p>
        <w:p w14:paraId="34B1AE0A" w14:textId="2731F1BC" w:rsidR="004633D9" w:rsidRDefault="00FE0BB6" w:rsidP="004633D9">
          <w:pPr>
            <w:pStyle w:val="TOC2"/>
            <w:rPr>
              <w:rFonts w:asciiTheme="minorHAnsi" w:eastAsiaTheme="minorEastAsia" w:hAnsiTheme="minorHAnsi" w:cstheme="minorBidi"/>
              <w:noProof/>
              <w:color w:val="auto"/>
            </w:rPr>
          </w:pPr>
          <w:hyperlink w:anchor="_Toc1737530" w:history="1">
            <w:r w:rsidR="004633D9" w:rsidRPr="007A2AD7">
              <w:rPr>
                <w:rStyle w:val="Hyperlink"/>
                <w:noProof/>
              </w:rPr>
              <w:t>Final preparations</w:t>
            </w:r>
            <w:r w:rsidR="004633D9">
              <w:rPr>
                <w:noProof/>
                <w:webHidden/>
              </w:rPr>
              <w:tab/>
            </w:r>
            <w:r w:rsidR="004633D9">
              <w:rPr>
                <w:noProof/>
                <w:webHidden/>
              </w:rPr>
              <w:fldChar w:fldCharType="begin"/>
            </w:r>
            <w:r w:rsidR="004633D9">
              <w:rPr>
                <w:noProof/>
                <w:webHidden/>
              </w:rPr>
              <w:instrText xml:space="preserve"> PAGEREF _Toc1737530 \h </w:instrText>
            </w:r>
            <w:r w:rsidR="004633D9">
              <w:rPr>
                <w:noProof/>
                <w:webHidden/>
              </w:rPr>
            </w:r>
            <w:r w:rsidR="004633D9">
              <w:rPr>
                <w:noProof/>
                <w:webHidden/>
              </w:rPr>
              <w:fldChar w:fldCharType="separate"/>
            </w:r>
            <w:r w:rsidR="004633D9">
              <w:rPr>
                <w:noProof/>
                <w:webHidden/>
              </w:rPr>
              <w:t>12</w:t>
            </w:r>
            <w:r w:rsidR="004633D9">
              <w:rPr>
                <w:noProof/>
                <w:webHidden/>
              </w:rPr>
              <w:fldChar w:fldCharType="end"/>
            </w:r>
          </w:hyperlink>
        </w:p>
        <w:p w14:paraId="1F6E78B2" w14:textId="62E86ED5" w:rsidR="004633D9" w:rsidRDefault="00FE0BB6">
          <w:pPr>
            <w:pStyle w:val="TOC1"/>
            <w:tabs>
              <w:tab w:val="right" w:leader="dot" w:pos="9350"/>
            </w:tabs>
            <w:rPr>
              <w:rFonts w:asciiTheme="minorHAnsi" w:eastAsiaTheme="minorEastAsia" w:hAnsiTheme="minorHAnsi" w:cstheme="minorBidi"/>
              <w:noProof/>
              <w:color w:val="auto"/>
            </w:rPr>
          </w:pPr>
          <w:hyperlink w:anchor="_Toc1737531" w:history="1">
            <w:r w:rsidR="004633D9" w:rsidRPr="007A2AD7">
              <w:rPr>
                <w:rStyle w:val="Hyperlink"/>
                <w:noProof/>
              </w:rPr>
              <w:t>Facilitating the meeting</w:t>
            </w:r>
            <w:r w:rsidR="004633D9">
              <w:rPr>
                <w:noProof/>
                <w:webHidden/>
              </w:rPr>
              <w:tab/>
            </w:r>
            <w:r w:rsidR="004633D9">
              <w:rPr>
                <w:noProof/>
                <w:webHidden/>
              </w:rPr>
              <w:fldChar w:fldCharType="begin"/>
            </w:r>
            <w:r w:rsidR="004633D9">
              <w:rPr>
                <w:noProof/>
                <w:webHidden/>
              </w:rPr>
              <w:instrText xml:space="preserve"> PAGEREF _Toc1737531 \h </w:instrText>
            </w:r>
            <w:r w:rsidR="004633D9">
              <w:rPr>
                <w:noProof/>
                <w:webHidden/>
              </w:rPr>
            </w:r>
            <w:r w:rsidR="004633D9">
              <w:rPr>
                <w:noProof/>
                <w:webHidden/>
              </w:rPr>
              <w:fldChar w:fldCharType="separate"/>
            </w:r>
            <w:r w:rsidR="004633D9">
              <w:rPr>
                <w:noProof/>
                <w:webHidden/>
              </w:rPr>
              <w:t>12</w:t>
            </w:r>
            <w:r w:rsidR="004633D9">
              <w:rPr>
                <w:noProof/>
                <w:webHidden/>
              </w:rPr>
              <w:fldChar w:fldCharType="end"/>
            </w:r>
          </w:hyperlink>
        </w:p>
        <w:p w14:paraId="6C190DF1" w14:textId="313011E6" w:rsidR="004633D9" w:rsidRDefault="00FE0BB6" w:rsidP="004633D9">
          <w:pPr>
            <w:pStyle w:val="TOC2"/>
            <w:rPr>
              <w:rFonts w:asciiTheme="minorHAnsi" w:eastAsiaTheme="minorEastAsia" w:hAnsiTheme="minorHAnsi" w:cstheme="minorBidi"/>
              <w:noProof/>
              <w:color w:val="auto"/>
            </w:rPr>
          </w:pPr>
          <w:hyperlink w:anchor="_Toc1737532" w:history="1">
            <w:r w:rsidR="004633D9" w:rsidRPr="007A2AD7">
              <w:rPr>
                <w:rStyle w:val="Hyperlink"/>
                <w:noProof/>
              </w:rPr>
              <w:t>Facilitator tips</w:t>
            </w:r>
            <w:r w:rsidR="004633D9">
              <w:rPr>
                <w:noProof/>
                <w:webHidden/>
              </w:rPr>
              <w:tab/>
            </w:r>
            <w:r w:rsidR="004633D9">
              <w:rPr>
                <w:noProof/>
                <w:webHidden/>
              </w:rPr>
              <w:fldChar w:fldCharType="begin"/>
            </w:r>
            <w:r w:rsidR="004633D9">
              <w:rPr>
                <w:noProof/>
                <w:webHidden/>
              </w:rPr>
              <w:instrText xml:space="preserve"> PAGEREF _Toc1737532 \h </w:instrText>
            </w:r>
            <w:r w:rsidR="004633D9">
              <w:rPr>
                <w:noProof/>
                <w:webHidden/>
              </w:rPr>
            </w:r>
            <w:r w:rsidR="004633D9">
              <w:rPr>
                <w:noProof/>
                <w:webHidden/>
              </w:rPr>
              <w:fldChar w:fldCharType="separate"/>
            </w:r>
            <w:r w:rsidR="004633D9">
              <w:rPr>
                <w:noProof/>
                <w:webHidden/>
              </w:rPr>
              <w:t>13</w:t>
            </w:r>
            <w:r w:rsidR="004633D9">
              <w:rPr>
                <w:noProof/>
                <w:webHidden/>
              </w:rPr>
              <w:fldChar w:fldCharType="end"/>
            </w:r>
          </w:hyperlink>
        </w:p>
        <w:p w14:paraId="1838C91E" w14:textId="1B61F58A" w:rsidR="004633D9" w:rsidRDefault="00FE0BB6">
          <w:pPr>
            <w:pStyle w:val="TOC1"/>
            <w:tabs>
              <w:tab w:val="right" w:leader="dot" w:pos="9350"/>
            </w:tabs>
            <w:rPr>
              <w:rFonts w:asciiTheme="minorHAnsi" w:eastAsiaTheme="minorEastAsia" w:hAnsiTheme="minorHAnsi" w:cstheme="minorBidi"/>
              <w:noProof/>
              <w:color w:val="auto"/>
            </w:rPr>
          </w:pPr>
          <w:hyperlink w:anchor="_Toc1737533" w:history="1">
            <w:r w:rsidR="004633D9" w:rsidRPr="007A2AD7">
              <w:rPr>
                <w:rStyle w:val="Hyperlink"/>
                <w:noProof/>
              </w:rPr>
              <w:t>Communicating the results</w:t>
            </w:r>
            <w:r w:rsidR="004633D9">
              <w:rPr>
                <w:noProof/>
                <w:webHidden/>
              </w:rPr>
              <w:tab/>
            </w:r>
            <w:r w:rsidR="004633D9">
              <w:rPr>
                <w:noProof/>
                <w:webHidden/>
              </w:rPr>
              <w:fldChar w:fldCharType="begin"/>
            </w:r>
            <w:r w:rsidR="004633D9">
              <w:rPr>
                <w:noProof/>
                <w:webHidden/>
              </w:rPr>
              <w:instrText xml:space="preserve"> PAGEREF _Toc1737533 \h </w:instrText>
            </w:r>
            <w:r w:rsidR="004633D9">
              <w:rPr>
                <w:noProof/>
                <w:webHidden/>
              </w:rPr>
            </w:r>
            <w:r w:rsidR="004633D9">
              <w:rPr>
                <w:noProof/>
                <w:webHidden/>
              </w:rPr>
              <w:fldChar w:fldCharType="separate"/>
            </w:r>
            <w:r w:rsidR="004633D9">
              <w:rPr>
                <w:noProof/>
                <w:webHidden/>
              </w:rPr>
              <w:t>14</w:t>
            </w:r>
            <w:r w:rsidR="004633D9">
              <w:rPr>
                <w:noProof/>
                <w:webHidden/>
              </w:rPr>
              <w:fldChar w:fldCharType="end"/>
            </w:r>
          </w:hyperlink>
        </w:p>
        <w:p w14:paraId="55885365" w14:textId="46A9FD80" w:rsidR="004633D9" w:rsidRDefault="00FE0BB6">
          <w:pPr>
            <w:pStyle w:val="TOC1"/>
            <w:tabs>
              <w:tab w:val="right" w:leader="dot" w:pos="9350"/>
            </w:tabs>
            <w:rPr>
              <w:rFonts w:asciiTheme="minorHAnsi" w:eastAsiaTheme="minorEastAsia" w:hAnsiTheme="minorHAnsi" w:cstheme="minorBidi"/>
              <w:noProof/>
              <w:color w:val="auto"/>
            </w:rPr>
          </w:pPr>
          <w:hyperlink w:anchor="_Toc1737534" w:history="1">
            <w:r w:rsidR="004633D9" w:rsidRPr="007A2AD7">
              <w:rPr>
                <w:rStyle w:val="Hyperlink"/>
                <w:noProof/>
              </w:rPr>
              <w:t>Appendix: additional resources</w:t>
            </w:r>
            <w:r w:rsidR="004633D9">
              <w:rPr>
                <w:noProof/>
                <w:webHidden/>
              </w:rPr>
              <w:tab/>
            </w:r>
            <w:r w:rsidR="004633D9">
              <w:rPr>
                <w:noProof/>
                <w:webHidden/>
              </w:rPr>
              <w:fldChar w:fldCharType="begin"/>
            </w:r>
            <w:r w:rsidR="004633D9">
              <w:rPr>
                <w:noProof/>
                <w:webHidden/>
              </w:rPr>
              <w:instrText xml:space="preserve"> PAGEREF _Toc1737534 \h </w:instrText>
            </w:r>
            <w:r w:rsidR="004633D9">
              <w:rPr>
                <w:noProof/>
                <w:webHidden/>
              </w:rPr>
            </w:r>
            <w:r w:rsidR="004633D9">
              <w:rPr>
                <w:noProof/>
                <w:webHidden/>
              </w:rPr>
              <w:fldChar w:fldCharType="separate"/>
            </w:r>
            <w:r w:rsidR="004633D9">
              <w:rPr>
                <w:noProof/>
                <w:webHidden/>
              </w:rPr>
              <w:t>15</w:t>
            </w:r>
            <w:r w:rsidR="004633D9">
              <w:rPr>
                <w:noProof/>
                <w:webHidden/>
              </w:rPr>
              <w:fldChar w:fldCharType="end"/>
            </w:r>
          </w:hyperlink>
        </w:p>
        <w:p w14:paraId="69F43F2D" w14:textId="3502ECB0" w:rsidR="004633D9" w:rsidRDefault="00FE0BB6" w:rsidP="004633D9">
          <w:pPr>
            <w:pStyle w:val="TOC2"/>
            <w:rPr>
              <w:rFonts w:asciiTheme="minorHAnsi" w:eastAsiaTheme="minorEastAsia" w:hAnsiTheme="minorHAnsi" w:cstheme="minorBidi"/>
              <w:noProof/>
              <w:color w:val="auto"/>
            </w:rPr>
          </w:pPr>
          <w:hyperlink w:anchor="_Toc1737535" w:history="1">
            <w:r w:rsidR="004633D9" w:rsidRPr="007A2AD7">
              <w:rPr>
                <w:rStyle w:val="Hyperlink"/>
                <w:noProof/>
              </w:rPr>
              <w:t>Resources on the informatics-savvy website</w:t>
            </w:r>
            <w:r w:rsidR="004633D9">
              <w:rPr>
                <w:noProof/>
                <w:webHidden/>
              </w:rPr>
              <w:tab/>
            </w:r>
            <w:r w:rsidR="004633D9">
              <w:rPr>
                <w:noProof/>
                <w:webHidden/>
              </w:rPr>
              <w:fldChar w:fldCharType="begin"/>
            </w:r>
            <w:r w:rsidR="004633D9">
              <w:rPr>
                <w:noProof/>
                <w:webHidden/>
              </w:rPr>
              <w:instrText xml:space="preserve"> PAGEREF _Toc1737535 \h </w:instrText>
            </w:r>
            <w:r w:rsidR="004633D9">
              <w:rPr>
                <w:noProof/>
                <w:webHidden/>
              </w:rPr>
            </w:r>
            <w:r w:rsidR="004633D9">
              <w:rPr>
                <w:noProof/>
                <w:webHidden/>
              </w:rPr>
              <w:fldChar w:fldCharType="separate"/>
            </w:r>
            <w:r w:rsidR="004633D9">
              <w:rPr>
                <w:noProof/>
                <w:webHidden/>
              </w:rPr>
              <w:t>15</w:t>
            </w:r>
            <w:r w:rsidR="004633D9">
              <w:rPr>
                <w:noProof/>
                <w:webHidden/>
              </w:rPr>
              <w:fldChar w:fldCharType="end"/>
            </w:r>
          </w:hyperlink>
        </w:p>
        <w:p w14:paraId="59355C59" w14:textId="24EE97EB" w:rsidR="008B6042" w:rsidRPr="004633D9" w:rsidRDefault="00FE0BB6" w:rsidP="004633D9">
          <w:pPr>
            <w:pStyle w:val="TOC2"/>
            <w:rPr>
              <w:rFonts w:asciiTheme="minorHAnsi" w:eastAsiaTheme="minorEastAsia" w:hAnsiTheme="minorHAnsi" w:cstheme="minorBidi"/>
              <w:noProof/>
              <w:color w:val="auto"/>
            </w:rPr>
          </w:pPr>
          <w:hyperlink w:anchor="_Toc1737536" w:history="1">
            <w:r w:rsidR="004633D9" w:rsidRPr="007A2AD7">
              <w:rPr>
                <w:rStyle w:val="Hyperlink"/>
                <w:noProof/>
              </w:rPr>
              <w:t>Sample score sheets</w:t>
            </w:r>
            <w:r w:rsidR="004633D9">
              <w:rPr>
                <w:noProof/>
                <w:webHidden/>
              </w:rPr>
              <w:tab/>
            </w:r>
            <w:r w:rsidR="004633D9">
              <w:rPr>
                <w:noProof/>
                <w:webHidden/>
              </w:rPr>
              <w:fldChar w:fldCharType="begin"/>
            </w:r>
            <w:r w:rsidR="004633D9">
              <w:rPr>
                <w:noProof/>
                <w:webHidden/>
              </w:rPr>
              <w:instrText xml:space="preserve"> PAGEREF _Toc1737536 \h </w:instrText>
            </w:r>
            <w:r w:rsidR="004633D9">
              <w:rPr>
                <w:noProof/>
                <w:webHidden/>
              </w:rPr>
            </w:r>
            <w:r w:rsidR="004633D9">
              <w:rPr>
                <w:noProof/>
                <w:webHidden/>
              </w:rPr>
              <w:fldChar w:fldCharType="separate"/>
            </w:r>
            <w:r w:rsidR="004633D9">
              <w:rPr>
                <w:noProof/>
                <w:webHidden/>
              </w:rPr>
              <w:t>16</w:t>
            </w:r>
            <w:r w:rsidR="004633D9">
              <w:rPr>
                <w:noProof/>
                <w:webHidden/>
              </w:rPr>
              <w:fldChar w:fldCharType="end"/>
            </w:r>
          </w:hyperlink>
          <w:r w:rsidR="008B6042">
            <w:rPr>
              <w:b/>
              <w:bCs/>
              <w:noProof/>
            </w:rPr>
            <w:fldChar w:fldCharType="end"/>
          </w:r>
        </w:p>
      </w:sdtContent>
    </w:sdt>
    <w:p w14:paraId="52857728" w14:textId="6E3A639E" w:rsidR="004829F7" w:rsidRDefault="004829F7">
      <w:pPr>
        <w:suppressAutoHyphens w:val="0"/>
        <w:autoSpaceDE/>
        <w:autoSpaceDN/>
        <w:adjustRightInd/>
        <w:spacing w:after="160" w:line="259" w:lineRule="auto"/>
        <w:textAlignment w:val="auto"/>
        <w:rPr>
          <w:b/>
          <w:color w:val="0075C9"/>
          <w:sz w:val="30"/>
          <w:szCs w:val="30"/>
        </w:rPr>
      </w:pPr>
      <w:r>
        <w:br w:type="page"/>
      </w:r>
    </w:p>
    <w:p w14:paraId="5EEAA515" w14:textId="77777777" w:rsidR="00281C52" w:rsidRDefault="00281C52" w:rsidP="00281C52">
      <w:pPr>
        <w:pStyle w:val="Heading1"/>
      </w:pPr>
      <w:bookmarkStart w:id="2" w:name="_Toc1737516"/>
      <w:r>
        <w:lastRenderedPageBreak/>
        <w:t>Acknowledgments</w:t>
      </w:r>
      <w:bookmarkEnd w:id="2"/>
    </w:p>
    <w:p w14:paraId="2FEB79B4" w14:textId="77777777" w:rsidR="00281C52" w:rsidRDefault="00281C52" w:rsidP="00281C52">
      <w:r>
        <w:t>PHII thanks all the agencies and individuals who contributed to developing the informatics-savvy health department resources available at www.phii.org/infosavvy. These include:</w:t>
      </w:r>
    </w:p>
    <w:p w14:paraId="77A8B319" w14:textId="77777777" w:rsidR="00281C52" w:rsidRDefault="00281C52" w:rsidP="00281C52">
      <w:r>
        <w:t xml:space="preserve"> </w:t>
      </w:r>
    </w:p>
    <w:p w14:paraId="69A0554A" w14:textId="77777777" w:rsidR="00281C52" w:rsidRDefault="00281C52" w:rsidP="00281C52">
      <w:pPr>
        <w:pStyle w:val="ListParagraph"/>
        <w:numPr>
          <w:ilvl w:val="0"/>
          <w:numId w:val="7"/>
        </w:numPr>
        <w:sectPr w:rsidR="00281C52" w:rsidSect="007E0FC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720" w:footer="720" w:gutter="0"/>
          <w:pgNumType w:start="0"/>
          <w:cols w:space="720"/>
          <w:noEndnote/>
          <w:titlePg/>
          <w:docGrid w:linePitch="299"/>
        </w:sectPr>
      </w:pPr>
    </w:p>
    <w:p w14:paraId="1DEBB594" w14:textId="1DB2A63E" w:rsidR="00281C52" w:rsidRDefault="00281C52" w:rsidP="00281C52">
      <w:pPr>
        <w:pStyle w:val="ListParagraph"/>
        <w:numPr>
          <w:ilvl w:val="0"/>
          <w:numId w:val="7"/>
        </w:numPr>
      </w:pPr>
      <w:r>
        <w:lastRenderedPageBreak/>
        <w:t xml:space="preserve">Chicago Department of Public Health </w:t>
      </w:r>
    </w:p>
    <w:p w14:paraId="76A1AD07" w14:textId="3C16AFE1" w:rsidR="00281C52" w:rsidRDefault="00281C52" w:rsidP="00281C52">
      <w:pPr>
        <w:pStyle w:val="ListParagraph"/>
        <w:numPr>
          <w:ilvl w:val="0"/>
          <w:numId w:val="7"/>
        </w:numPr>
      </w:pPr>
      <w:r>
        <w:t xml:space="preserve">Dakota County (MN) Public Health </w:t>
      </w:r>
    </w:p>
    <w:p w14:paraId="3377E393" w14:textId="4F33450B" w:rsidR="00281C52" w:rsidRDefault="00281C52" w:rsidP="00281C52">
      <w:pPr>
        <w:pStyle w:val="ListParagraph"/>
        <w:numPr>
          <w:ilvl w:val="0"/>
          <w:numId w:val="7"/>
        </w:numPr>
      </w:pPr>
      <w:r>
        <w:t>Denver Public Health</w:t>
      </w:r>
    </w:p>
    <w:p w14:paraId="196245F6" w14:textId="32A8C04D" w:rsidR="00281C52" w:rsidRDefault="00281C52" w:rsidP="00281C52">
      <w:pPr>
        <w:pStyle w:val="ListParagraph"/>
        <w:numPr>
          <w:ilvl w:val="0"/>
          <w:numId w:val="7"/>
        </w:numPr>
      </w:pPr>
      <w:r>
        <w:t>Detroit Health Department</w:t>
      </w:r>
    </w:p>
    <w:p w14:paraId="6A22B3C0" w14:textId="1A09FF4A" w:rsidR="00281C52" w:rsidRDefault="00281C52" w:rsidP="00281C52">
      <w:pPr>
        <w:pStyle w:val="ListParagraph"/>
        <w:numPr>
          <w:ilvl w:val="0"/>
          <w:numId w:val="7"/>
        </w:numPr>
      </w:pPr>
      <w:r>
        <w:t>Minnesota Department of Health</w:t>
      </w:r>
    </w:p>
    <w:p w14:paraId="5056AE3B" w14:textId="616AF44B" w:rsidR="00281C52" w:rsidRDefault="00281C52" w:rsidP="00281C52">
      <w:pPr>
        <w:pStyle w:val="ListParagraph"/>
        <w:numPr>
          <w:ilvl w:val="0"/>
          <w:numId w:val="7"/>
        </w:numPr>
      </w:pPr>
      <w:r>
        <w:t>New Hampshire Division of Public Health Services</w:t>
      </w:r>
    </w:p>
    <w:p w14:paraId="2866F356" w14:textId="175B0FDA" w:rsidR="00281C52" w:rsidRDefault="00281C52" w:rsidP="00281C52">
      <w:pPr>
        <w:pStyle w:val="ListParagraph"/>
        <w:numPr>
          <w:ilvl w:val="0"/>
          <w:numId w:val="7"/>
        </w:numPr>
      </w:pPr>
      <w:r>
        <w:t>Oregon Health Authority</w:t>
      </w:r>
    </w:p>
    <w:p w14:paraId="10920549" w14:textId="5BC9EE3D" w:rsidR="00281C52" w:rsidRDefault="00281C52" w:rsidP="00281C52">
      <w:pPr>
        <w:pStyle w:val="ListParagraph"/>
        <w:numPr>
          <w:ilvl w:val="0"/>
          <w:numId w:val="7"/>
        </w:numPr>
      </w:pPr>
      <w:r>
        <w:t xml:space="preserve">Puerto Rico Department of Public Health </w:t>
      </w:r>
    </w:p>
    <w:p w14:paraId="4CE1693B" w14:textId="184A033E" w:rsidR="00281C52" w:rsidRDefault="00281C52" w:rsidP="00281C52">
      <w:pPr>
        <w:pStyle w:val="ListParagraph"/>
        <w:numPr>
          <w:ilvl w:val="0"/>
          <w:numId w:val="7"/>
        </w:numPr>
      </w:pPr>
      <w:r>
        <w:lastRenderedPageBreak/>
        <w:t>St. Louis County (MN) Public Health</w:t>
      </w:r>
    </w:p>
    <w:p w14:paraId="7E8EE09C" w14:textId="062BEB1F" w:rsidR="00281C52" w:rsidRDefault="00281C52" w:rsidP="00281C52">
      <w:pPr>
        <w:pStyle w:val="ListParagraph"/>
        <w:numPr>
          <w:ilvl w:val="0"/>
          <w:numId w:val="7"/>
        </w:numPr>
      </w:pPr>
      <w:r>
        <w:t>Tarrant County (TX) Public Health</w:t>
      </w:r>
    </w:p>
    <w:p w14:paraId="4A4BBB41" w14:textId="3A6CDABF" w:rsidR="00281C52" w:rsidRDefault="00281C52" w:rsidP="00281C52">
      <w:pPr>
        <w:pStyle w:val="ListParagraph"/>
        <w:numPr>
          <w:ilvl w:val="0"/>
          <w:numId w:val="7"/>
        </w:numPr>
      </w:pPr>
      <w:r>
        <w:t>Tri-County (CO) Health Department</w:t>
      </w:r>
    </w:p>
    <w:p w14:paraId="565B8CBF" w14:textId="466CC8C6" w:rsidR="00281C52" w:rsidRDefault="00281C52" w:rsidP="00281C52">
      <w:pPr>
        <w:pStyle w:val="ListParagraph"/>
        <w:numPr>
          <w:ilvl w:val="0"/>
          <w:numId w:val="7"/>
        </w:numPr>
      </w:pPr>
      <w:r>
        <w:t>Washington State Department of Health</w:t>
      </w:r>
    </w:p>
    <w:p w14:paraId="113356F4" w14:textId="66918991" w:rsidR="00281C52" w:rsidRDefault="00281C52" w:rsidP="00281C52">
      <w:pPr>
        <w:pStyle w:val="ListParagraph"/>
        <w:numPr>
          <w:ilvl w:val="0"/>
          <w:numId w:val="7"/>
        </w:numPr>
      </w:pPr>
      <w:r>
        <w:t>Whatcom County (WA) Health Department</w:t>
      </w:r>
    </w:p>
    <w:p w14:paraId="799B80C4" w14:textId="20B938F9" w:rsidR="00281C52" w:rsidRDefault="00281C52" w:rsidP="00281C52">
      <w:pPr>
        <w:pStyle w:val="ListParagraph"/>
        <w:numPr>
          <w:ilvl w:val="0"/>
          <w:numId w:val="7"/>
        </w:numPr>
      </w:pPr>
      <w:r>
        <w:t>ASTHO and NACCHO</w:t>
      </w:r>
    </w:p>
    <w:p w14:paraId="3AE78351" w14:textId="0F3996D1" w:rsidR="00281C52" w:rsidRDefault="00281C52" w:rsidP="00281C52"/>
    <w:p w14:paraId="2F5B8161" w14:textId="77777777" w:rsidR="00281C52" w:rsidRDefault="00281C52" w:rsidP="00281C52">
      <w:pPr>
        <w:sectPr w:rsidR="00281C52" w:rsidSect="00281C52">
          <w:type w:val="continuous"/>
          <w:pgSz w:w="12240" w:h="15840"/>
          <w:pgMar w:top="1440" w:right="1440" w:bottom="1080" w:left="1440" w:header="720" w:footer="720" w:gutter="0"/>
          <w:pgNumType w:start="0"/>
          <w:cols w:num="2" w:space="720"/>
          <w:noEndnote/>
          <w:titlePg/>
          <w:docGrid w:linePitch="299"/>
        </w:sectPr>
      </w:pPr>
    </w:p>
    <w:p w14:paraId="366AF306" w14:textId="77777777" w:rsidR="00281C52" w:rsidRDefault="00281C52" w:rsidP="00281C52">
      <w:r>
        <w:lastRenderedPageBreak/>
        <w:t>PHII wishes to particularly thank the following individuals:</w:t>
      </w:r>
    </w:p>
    <w:p w14:paraId="7B00DE95" w14:textId="77777777" w:rsidR="00281C52" w:rsidRDefault="00281C52" w:rsidP="00281C52">
      <w:pPr>
        <w:pStyle w:val="ListParagraph"/>
        <w:numPr>
          <w:ilvl w:val="0"/>
          <w:numId w:val="8"/>
        </w:numPr>
      </w:pPr>
      <w:r>
        <w:t>The Applied Public Health Informatics Fellows and the Informatics Training in Place Fellows who took the initiative to use the informatics-savvy self-assessment tool in their projects.</w:t>
      </w:r>
    </w:p>
    <w:p w14:paraId="37321E0C" w14:textId="77777777" w:rsidR="00281C52" w:rsidRDefault="00281C52" w:rsidP="00281C52">
      <w:pPr>
        <w:pStyle w:val="ListParagraph"/>
        <w:numPr>
          <w:ilvl w:val="0"/>
          <w:numId w:val="8"/>
        </w:numPr>
      </w:pPr>
      <w:r>
        <w:t xml:space="preserve">Kari </w:t>
      </w:r>
      <w:proofErr w:type="spellStart"/>
      <w:r>
        <w:t>Guida</w:t>
      </w:r>
      <w:proofErr w:type="spellEnd"/>
      <w:r>
        <w:t xml:space="preserve">, Minnesota Department of Health Office of e-Health and HIT, for creating the small group process described in this facilitator’s guide. </w:t>
      </w:r>
    </w:p>
    <w:p w14:paraId="3CAA3CE9" w14:textId="77777777" w:rsidR="00281C52" w:rsidRDefault="00281C52" w:rsidP="00281C52">
      <w:pPr>
        <w:pStyle w:val="ListParagraph"/>
        <w:numPr>
          <w:ilvl w:val="0"/>
          <w:numId w:val="8"/>
        </w:numPr>
      </w:pPr>
      <w:r>
        <w:t xml:space="preserve">Ed Baker who made possible the series of Management Moment columns in the Journal of Public Health Management and Practice on informatics-savvy health departments, and Martin </w:t>
      </w:r>
      <w:proofErr w:type="spellStart"/>
      <w:r>
        <w:t>LaVenture</w:t>
      </w:r>
      <w:proofErr w:type="spellEnd"/>
      <w:r>
        <w:t xml:space="preserve">, Minnesota Department of Health Office of e-Health and HIT, who co-authored all the columns. </w:t>
      </w:r>
    </w:p>
    <w:p w14:paraId="66BEF340" w14:textId="53DF681F" w:rsidR="00281C52" w:rsidRDefault="00281C52" w:rsidP="00281C52">
      <w:pPr>
        <w:pStyle w:val="ListParagraph"/>
        <w:numPr>
          <w:ilvl w:val="0"/>
          <w:numId w:val="8"/>
        </w:numPr>
      </w:pPr>
      <w:r>
        <w:t xml:space="preserve">Judy </w:t>
      </w:r>
      <w:proofErr w:type="spellStart"/>
      <w:r>
        <w:t>Lipshutz</w:t>
      </w:r>
      <w:proofErr w:type="spellEnd"/>
      <w:r>
        <w:t xml:space="preserve">, CDC Office of State, Tribal, Local and Territorial Support for her financial and moral support from 2013-2018 for the informatics-savvy health department project. </w:t>
      </w:r>
    </w:p>
    <w:p w14:paraId="4686C0EE" w14:textId="77777777" w:rsidR="00281C52" w:rsidRDefault="00281C52" w:rsidP="00281C52"/>
    <w:p w14:paraId="61281631" w14:textId="2EBA43D3" w:rsidR="00281C52" w:rsidRDefault="00281C52" w:rsidP="00281C52">
      <w:r>
        <w:t>Development and testing of the informatics-savvy health department toolkit was made possible through cooperative agreement no. 1U38OT000216-1 from the Centers for Disease Control and Prevention, Office of State, Tribal, Local and Territorial Support.</w:t>
      </w:r>
    </w:p>
    <w:p w14:paraId="3AC8BA23" w14:textId="77777777" w:rsidR="00281C52" w:rsidRDefault="00281C52">
      <w:pPr>
        <w:suppressAutoHyphens w:val="0"/>
        <w:autoSpaceDE/>
        <w:autoSpaceDN/>
        <w:adjustRightInd/>
        <w:spacing w:after="160" w:line="259" w:lineRule="auto"/>
        <w:textAlignment w:val="auto"/>
      </w:pPr>
      <w:r>
        <w:br w:type="page"/>
      </w:r>
    </w:p>
    <w:p w14:paraId="74731F72" w14:textId="72C81A9F" w:rsidR="00975E33" w:rsidRDefault="00975E33" w:rsidP="00975E33">
      <w:pPr>
        <w:pStyle w:val="Heading1"/>
      </w:pPr>
      <w:bookmarkStart w:id="3" w:name="_Toc1737517"/>
      <w:r>
        <w:lastRenderedPageBreak/>
        <w:t>How to read this guide</w:t>
      </w:r>
      <w:bookmarkEnd w:id="3"/>
    </w:p>
    <w:p w14:paraId="269083DA" w14:textId="3D11F1B9" w:rsidR="00281C52" w:rsidRDefault="00281C52" w:rsidP="00281C52">
      <w:r>
        <w:t>This facilitator’s guide is organized as follows:</w:t>
      </w:r>
    </w:p>
    <w:tbl>
      <w:tblPr>
        <w:tblW w:w="9548" w:type="dxa"/>
        <w:tblInd w:w="-8" w:type="dxa"/>
        <w:tblLayout w:type="fixed"/>
        <w:tblCellMar>
          <w:left w:w="0" w:type="dxa"/>
          <w:right w:w="0" w:type="dxa"/>
        </w:tblCellMar>
        <w:tblLook w:val="0000" w:firstRow="0" w:lastRow="0" w:firstColumn="0" w:lastColumn="0" w:noHBand="0" w:noVBand="0"/>
      </w:tblPr>
      <w:tblGrid>
        <w:gridCol w:w="2618"/>
        <w:gridCol w:w="5040"/>
        <w:gridCol w:w="1890"/>
      </w:tblGrid>
      <w:tr w:rsidR="00975E33" w:rsidRPr="00975E33" w14:paraId="7B6F5611" w14:textId="03F6603C" w:rsidTr="00975E33">
        <w:trPr>
          <w:trHeight w:val="90"/>
        </w:trPr>
        <w:tc>
          <w:tcPr>
            <w:tcW w:w="2618" w:type="dxa"/>
            <w:tcBorders>
              <w:top w:val="single" w:sz="12" w:space="0" w:color="004987"/>
              <w:bottom w:val="single" w:sz="4" w:space="0" w:color="FFFFFF" w:themeColor="background1"/>
            </w:tcBorders>
            <w:shd w:val="clear" w:color="auto" w:fill="5C8CB6"/>
            <w:tcMar>
              <w:top w:w="90" w:type="dxa"/>
              <w:left w:w="90" w:type="dxa"/>
              <w:bottom w:w="90" w:type="dxa"/>
              <w:right w:w="90" w:type="dxa"/>
            </w:tcMar>
          </w:tcPr>
          <w:p w14:paraId="58B68C65" w14:textId="32E7E222" w:rsidR="00975E33" w:rsidRPr="00975E33" w:rsidRDefault="00975E33" w:rsidP="00F51319">
            <w:pPr>
              <w:pStyle w:val="TableHeadLeftTablesandCharts"/>
              <w:rPr>
                <w:color w:val="FFFFFF" w:themeColor="background1"/>
              </w:rPr>
            </w:pPr>
            <w:r w:rsidRPr="00975E33">
              <w:rPr>
                <w:color w:val="FFFFFF" w:themeColor="background1"/>
              </w:rPr>
              <w:t>Heading title of…</w:t>
            </w:r>
          </w:p>
        </w:tc>
        <w:tc>
          <w:tcPr>
            <w:tcW w:w="5040" w:type="dxa"/>
            <w:tcBorders>
              <w:top w:val="single" w:sz="12" w:space="0" w:color="004A88"/>
              <w:bottom w:val="single" w:sz="4" w:space="0" w:color="004A88"/>
            </w:tcBorders>
            <w:shd w:val="clear" w:color="auto" w:fill="5C8CB6"/>
            <w:tcMar>
              <w:top w:w="90" w:type="dxa"/>
              <w:left w:w="90" w:type="dxa"/>
              <w:bottom w:w="90" w:type="dxa"/>
              <w:right w:w="90" w:type="dxa"/>
            </w:tcMar>
          </w:tcPr>
          <w:p w14:paraId="6E34D229" w14:textId="390379B8" w:rsidR="00975E33" w:rsidRPr="00975E33" w:rsidRDefault="00975E33" w:rsidP="00F51319">
            <w:pPr>
              <w:pStyle w:val="TableTextTablesandCharts"/>
              <w:rPr>
                <w:b/>
                <w:color w:val="FFFFFF" w:themeColor="background1"/>
                <w:sz w:val="22"/>
                <w:szCs w:val="22"/>
              </w:rPr>
            </w:pPr>
            <w:r w:rsidRPr="00975E33">
              <w:rPr>
                <w:b/>
                <w:color w:val="FFFFFF" w:themeColor="background1"/>
                <w:sz w:val="22"/>
                <w:szCs w:val="22"/>
              </w:rPr>
              <w:t>Answers the questions…</w:t>
            </w:r>
          </w:p>
        </w:tc>
        <w:tc>
          <w:tcPr>
            <w:tcW w:w="1890" w:type="dxa"/>
            <w:tcBorders>
              <w:top w:val="single" w:sz="12" w:space="0" w:color="004A88"/>
              <w:bottom w:val="single" w:sz="4" w:space="0" w:color="004A88"/>
            </w:tcBorders>
            <w:shd w:val="clear" w:color="auto" w:fill="5C8CB6"/>
          </w:tcPr>
          <w:p w14:paraId="1DD69F83" w14:textId="4D75002B" w:rsidR="00975E33" w:rsidRPr="00975E33" w:rsidRDefault="00975E33" w:rsidP="00F51319">
            <w:pPr>
              <w:pStyle w:val="TableTextTablesandCharts"/>
              <w:rPr>
                <w:b/>
                <w:sz w:val="22"/>
                <w:szCs w:val="22"/>
              </w:rPr>
            </w:pPr>
            <w:r w:rsidRPr="00975E33">
              <w:rPr>
                <w:b/>
                <w:color w:val="FFFFFF" w:themeColor="background1"/>
                <w:sz w:val="22"/>
                <w:szCs w:val="22"/>
              </w:rPr>
              <w:t>Found on pages…</w:t>
            </w:r>
          </w:p>
        </w:tc>
      </w:tr>
      <w:tr w:rsidR="00975E33" w:rsidRPr="007F0E18" w14:paraId="2C799534" w14:textId="4DB22387" w:rsidTr="00975E33">
        <w:trPr>
          <w:trHeight w:val="90"/>
        </w:trPr>
        <w:tc>
          <w:tcPr>
            <w:tcW w:w="2618" w:type="dxa"/>
            <w:tcBorders>
              <w:top w:val="single" w:sz="4" w:space="0" w:color="FFFFFF" w:themeColor="background1"/>
              <w:bottom w:val="single" w:sz="4" w:space="0" w:color="FFFFFF" w:themeColor="background1"/>
            </w:tcBorders>
            <w:shd w:val="clear" w:color="auto" w:fill="5C8CB6"/>
            <w:tcMar>
              <w:top w:w="90" w:type="dxa"/>
              <w:left w:w="90" w:type="dxa"/>
              <w:bottom w:w="90" w:type="dxa"/>
              <w:right w:w="90" w:type="dxa"/>
            </w:tcMar>
          </w:tcPr>
          <w:p w14:paraId="7945CF05" w14:textId="174AFD93" w:rsidR="00975E33" w:rsidRPr="007F0E18" w:rsidRDefault="00975E33" w:rsidP="00F51319">
            <w:pPr>
              <w:pStyle w:val="TableHeadLeftTablesandCharts"/>
            </w:pPr>
            <w:r>
              <w:t>Understanding the informatics-savvy self-assessment tool</w:t>
            </w:r>
          </w:p>
        </w:tc>
        <w:tc>
          <w:tcPr>
            <w:tcW w:w="5040" w:type="dxa"/>
            <w:tcBorders>
              <w:top w:val="single" w:sz="4" w:space="0" w:color="004A88"/>
              <w:bottom w:val="single" w:sz="4" w:space="0" w:color="004A88"/>
            </w:tcBorders>
            <w:shd w:val="clear" w:color="auto" w:fill="CDE2F5"/>
            <w:tcMar>
              <w:top w:w="90" w:type="dxa"/>
              <w:left w:w="90" w:type="dxa"/>
              <w:bottom w:w="90" w:type="dxa"/>
              <w:right w:w="90" w:type="dxa"/>
            </w:tcMar>
          </w:tcPr>
          <w:p w14:paraId="0623F4F9" w14:textId="768499AC" w:rsidR="00975E33" w:rsidRPr="007F0E18" w:rsidRDefault="00975E33" w:rsidP="00F51319">
            <w:pPr>
              <w:pStyle w:val="TableTextTablesandCharts"/>
            </w:pPr>
            <w:r w:rsidRPr="00975E33">
              <w:t>Why conduct the informatics-savvy self-assessment? What is its purpose? How is it structured?</w:t>
            </w:r>
          </w:p>
        </w:tc>
        <w:tc>
          <w:tcPr>
            <w:tcW w:w="1890" w:type="dxa"/>
            <w:tcBorders>
              <w:top w:val="single" w:sz="4" w:space="0" w:color="004A88"/>
              <w:bottom w:val="single" w:sz="4" w:space="0" w:color="004A88"/>
            </w:tcBorders>
            <w:shd w:val="clear" w:color="auto" w:fill="CDE2F5"/>
          </w:tcPr>
          <w:p w14:paraId="4609E210" w14:textId="1255039A" w:rsidR="00975E33" w:rsidRPr="007F0E18" w:rsidRDefault="00401E2D" w:rsidP="00F51319">
            <w:pPr>
              <w:pStyle w:val="TableTextTablesandCharts"/>
            </w:pPr>
            <w:r>
              <w:t>4-6</w:t>
            </w:r>
          </w:p>
        </w:tc>
      </w:tr>
      <w:tr w:rsidR="00975E33" w:rsidRPr="007F0E18" w14:paraId="2536E894" w14:textId="0432487F" w:rsidTr="00975E33">
        <w:trPr>
          <w:trHeight w:val="90"/>
        </w:trPr>
        <w:tc>
          <w:tcPr>
            <w:tcW w:w="2618" w:type="dxa"/>
            <w:tcBorders>
              <w:top w:val="single" w:sz="4" w:space="0" w:color="FFFFFF" w:themeColor="background1"/>
              <w:bottom w:val="single" w:sz="4" w:space="0" w:color="FFFFFF" w:themeColor="background1"/>
            </w:tcBorders>
            <w:shd w:val="clear" w:color="auto" w:fill="5C8CB6"/>
            <w:tcMar>
              <w:top w:w="90" w:type="dxa"/>
              <w:left w:w="90" w:type="dxa"/>
              <w:bottom w:w="90" w:type="dxa"/>
              <w:right w:w="90" w:type="dxa"/>
            </w:tcMar>
          </w:tcPr>
          <w:p w14:paraId="4F5DADD4" w14:textId="66B73738" w:rsidR="00975E33" w:rsidRPr="007F0E18" w:rsidRDefault="00975E33" w:rsidP="00F51319">
            <w:pPr>
              <w:pStyle w:val="TableHeadLeftTablesandCharts"/>
            </w:pPr>
            <w:r>
              <w:t>Selecting meeting scope and format</w:t>
            </w:r>
          </w:p>
        </w:tc>
        <w:tc>
          <w:tcPr>
            <w:tcW w:w="5040" w:type="dxa"/>
            <w:tcBorders>
              <w:top w:val="single" w:sz="4" w:space="0" w:color="004A88"/>
              <w:bottom w:val="single" w:sz="4" w:space="0" w:color="004A88"/>
            </w:tcBorders>
            <w:tcMar>
              <w:top w:w="90" w:type="dxa"/>
              <w:left w:w="90" w:type="dxa"/>
              <w:bottom w:w="90" w:type="dxa"/>
              <w:right w:w="90" w:type="dxa"/>
            </w:tcMar>
          </w:tcPr>
          <w:p w14:paraId="57E271DC" w14:textId="1AA482A9" w:rsidR="00975E33" w:rsidRPr="007F0E18" w:rsidRDefault="00975E33" w:rsidP="00F51319">
            <w:pPr>
              <w:pStyle w:val="TableTextTablesandCharts"/>
            </w:pPr>
            <w:r w:rsidRPr="00975E33">
              <w:t>What are alternative ways to organize a self-assessment event? Who to invite?</w:t>
            </w:r>
          </w:p>
        </w:tc>
        <w:tc>
          <w:tcPr>
            <w:tcW w:w="1890" w:type="dxa"/>
            <w:tcBorders>
              <w:top w:val="single" w:sz="4" w:space="0" w:color="004A88"/>
              <w:bottom w:val="single" w:sz="4" w:space="0" w:color="004A88"/>
            </w:tcBorders>
          </w:tcPr>
          <w:p w14:paraId="1813EAF5" w14:textId="145882E0" w:rsidR="00975E33" w:rsidRPr="007F0E18" w:rsidRDefault="00401E2D" w:rsidP="00F51319">
            <w:pPr>
              <w:pStyle w:val="TableTextTablesandCharts"/>
            </w:pPr>
            <w:r>
              <w:t>7-8</w:t>
            </w:r>
          </w:p>
        </w:tc>
      </w:tr>
      <w:tr w:rsidR="00975E33" w:rsidRPr="007F0E18" w14:paraId="5D0DF7F8" w14:textId="4F298308" w:rsidTr="00975E33">
        <w:trPr>
          <w:trHeight w:val="90"/>
        </w:trPr>
        <w:tc>
          <w:tcPr>
            <w:tcW w:w="2618" w:type="dxa"/>
            <w:tcBorders>
              <w:top w:val="single" w:sz="4" w:space="0" w:color="FFFFFF" w:themeColor="background1"/>
              <w:bottom w:val="single" w:sz="4" w:space="0" w:color="FFFFFF" w:themeColor="background1"/>
            </w:tcBorders>
            <w:shd w:val="clear" w:color="auto" w:fill="5C8CB6"/>
            <w:tcMar>
              <w:top w:w="90" w:type="dxa"/>
              <w:left w:w="90" w:type="dxa"/>
              <w:bottom w:w="90" w:type="dxa"/>
              <w:right w:w="90" w:type="dxa"/>
            </w:tcMar>
          </w:tcPr>
          <w:p w14:paraId="46853F92" w14:textId="545F1882" w:rsidR="00975E33" w:rsidRPr="007F0E18" w:rsidRDefault="00975E33" w:rsidP="00F51319">
            <w:pPr>
              <w:pStyle w:val="TableHeadLeftTablesandCharts"/>
            </w:pPr>
            <w:r>
              <w:t>Preparing for the meeting</w:t>
            </w:r>
          </w:p>
        </w:tc>
        <w:tc>
          <w:tcPr>
            <w:tcW w:w="5040" w:type="dxa"/>
            <w:tcBorders>
              <w:top w:val="single" w:sz="4" w:space="0" w:color="004A88"/>
              <w:bottom w:val="single" w:sz="4" w:space="0" w:color="004A88"/>
            </w:tcBorders>
            <w:shd w:val="clear" w:color="auto" w:fill="CDE2F5"/>
            <w:tcMar>
              <w:top w:w="90" w:type="dxa"/>
              <w:left w:w="90" w:type="dxa"/>
              <w:bottom w:w="90" w:type="dxa"/>
              <w:right w:w="90" w:type="dxa"/>
            </w:tcMar>
          </w:tcPr>
          <w:p w14:paraId="00E49AA9" w14:textId="7D9DA143" w:rsidR="00975E33" w:rsidRPr="007F0E18" w:rsidRDefault="00975E33" w:rsidP="00F51319">
            <w:pPr>
              <w:pStyle w:val="TableTextTablesandCharts"/>
            </w:pPr>
            <w:r w:rsidRPr="00975E33">
              <w:t>How do we prepare for the event? How do we prepare the participants? Who has what roles and responsibilities?</w:t>
            </w:r>
          </w:p>
        </w:tc>
        <w:tc>
          <w:tcPr>
            <w:tcW w:w="1890" w:type="dxa"/>
            <w:tcBorders>
              <w:top w:val="single" w:sz="4" w:space="0" w:color="004A88"/>
              <w:bottom w:val="single" w:sz="4" w:space="0" w:color="004A88"/>
            </w:tcBorders>
            <w:shd w:val="clear" w:color="auto" w:fill="CDE2F5"/>
          </w:tcPr>
          <w:p w14:paraId="0694B56F" w14:textId="1537F2E0" w:rsidR="00975E33" w:rsidRPr="007F0E18" w:rsidRDefault="00401E2D" w:rsidP="00F51319">
            <w:pPr>
              <w:pStyle w:val="TableTextTablesandCharts"/>
            </w:pPr>
            <w:r>
              <w:t>9-12</w:t>
            </w:r>
          </w:p>
        </w:tc>
      </w:tr>
      <w:tr w:rsidR="00975E33" w:rsidRPr="007F0E18" w14:paraId="7FD259E2" w14:textId="1201098A" w:rsidTr="00975E33">
        <w:trPr>
          <w:trHeight w:val="90"/>
        </w:trPr>
        <w:tc>
          <w:tcPr>
            <w:tcW w:w="2618" w:type="dxa"/>
            <w:tcBorders>
              <w:top w:val="single" w:sz="4" w:space="0" w:color="FFFFFF" w:themeColor="background1"/>
              <w:bottom w:val="single" w:sz="4" w:space="0" w:color="FFFFFF" w:themeColor="background1"/>
            </w:tcBorders>
            <w:shd w:val="clear" w:color="auto" w:fill="5C8CB6"/>
            <w:tcMar>
              <w:top w:w="90" w:type="dxa"/>
              <w:left w:w="90" w:type="dxa"/>
              <w:bottom w:w="90" w:type="dxa"/>
              <w:right w:w="90" w:type="dxa"/>
            </w:tcMar>
          </w:tcPr>
          <w:p w14:paraId="7BEED63C" w14:textId="1E306101" w:rsidR="00975E33" w:rsidRPr="007F0E18" w:rsidRDefault="00975E33" w:rsidP="00F51319">
            <w:pPr>
              <w:pStyle w:val="TableHeadLeftTablesandCharts"/>
            </w:pPr>
            <w:r>
              <w:t>Facilitating the meeting</w:t>
            </w:r>
          </w:p>
        </w:tc>
        <w:tc>
          <w:tcPr>
            <w:tcW w:w="5040" w:type="dxa"/>
            <w:tcBorders>
              <w:top w:val="single" w:sz="4" w:space="0" w:color="004A88"/>
              <w:bottom w:val="single" w:sz="4" w:space="0" w:color="004A88"/>
            </w:tcBorders>
            <w:tcMar>
              <w:top w:w="90" w:type="dxa"/>
              <w:left w:w="90" w:type="dxa"/>
              <w:bottom w:w="90" w:type="dxa"/>
              <w:right w:w="90" w:type="dxa"/>
            </w:tcMar>
          </w:tcPr>
          <w:p w14:paraId="149DABBE" w14:textId="7F983772" w:rsidR="00975E33" w:rsidRPr="007F0E18" w:rsidRDefault="00975E33" w:rsidP="00F51319">
            <w:pPr>
              <w:pStyle w:val="TableTextTablesandCharts"/>
            </w:pPr>
            <w:r w:rsidRPr="00975E33">
              <w:t>What is the actual group process? What have others learned that might help our planning?</w:t>
            </w:r>
          </w:p>
        </w:tc>
        <w:tc>
          <w:tcPr>
            <w:tcW w:w="1890" w:type="dxa"/>
            <w:tcBorders>
              <w:top w:val="single" w:sz="4" w:space="0" w:color="004A88"/>
              <w:bottom w:val="single" w:sz="4" w:space="0" w:color="004A88"/>
            </w:tcBorders>
          </w:tcPr>
          <w:p w14:paraId="4CD7BF09" w14:textId="1DD7B84F" w:rsidR="00975E33" w:rsidRPr="007F0E18" w:rsidRDefault="00401E2D" w:rsidP="00F51319">
            <w:pPr>
              <w:pStyle w:val="TableTextTablesandCharts"/>
            </w:pPr>
            <w:r>
              <w:t>13</w:t>
            </w:r>
          </w:p>
        </w:tc>
      </w:tr>
      <w:tr w:rsidR="00975E33" w:rsidRPr="007F0E18" w14:paraId="779307EB" w14:textId="264F7EC0" w:rsidTr="00975E33">
        <w:trPr>
          <w:trHeight w:val="90"/>
        </w:trPr>
        <w:tc>
          <w:tcPr>
            <w:tcW w:w="2618" w:type="dxa"/>
            <w:tcBorders>
              <w:top w:val="single" w:sz="4" w:space="0" w:color="FFFFFF" w:themeColor="background1"/>
              <w:bottom w:val="single" w:sz="12" w:space="0" w:color="004987"/>
            </w:tcBorders>
            <w:shd w:val="clear" w:color="auto" w:fill="5C8CB6"/>
            <w:tcMar>
              <w:top w:w="90" w:type="dxa"/>
              <w:left w:w="90" w:type="dxa"/>
              <w:bottom w:w="90" w:type="dxa"/>
              <w:right w:w="90" w:type="dxa"/>
            </w:tcMar>
          </w:tcPr>
          <w:p w14:paraId="1C92CCFB" w14:textId="56AED7E2" w:rsidR="00975E33" w:rsidRPr="007F0E18" w:rsidRDefault="00975E33" w:rsidP="00F51319">
            <w:pPr>
              <w:pStyle w:val="TableHeadLeftTablesandCharts"/>
            </w:pPr>
            <w:r>
              <w:t>Communicating the results</w:t>
            </w:r>
          </w:p>
        </w:tc>
        <w:tc>
          <w:tcPr>
            <w:tcW w:w="5040" w:type="dxa"/>
            <w:tcBorders>
              <w:top w:val="single" w:sz="4" w:space="0" w:color="004A88"/>
              <w:bottom w:val="single" w:sz="12" w:space="0" w:color="004987"/>
            </w:tcBorders>
            <w:shd w:val="clear" w:color="auto" w:fill="CDE2F5"/>
            <w:tcMar>
              <w:top w:w="90" w:type="dxa"/>
              <w:left w:w="90" w:type="dxa"/>
              <w:bottom w:w="90" w:type="dxa"/>
              <w:right w:w="90" w:type="dxa"/>
            </w:tcMar>
          </w:tcPr>
          <w:p w14:paraId="46CE68B0" w14:textId="6E4565DC" w:rsidR="00975E33" w:rsidRPr="007F0E18" w:rsidRDefault="00975E33" w:rsidP="00F51319">
            <w:pPr>
              <w:pStyle w:val="TableTextTablesandCharts"/>
            </w:pPr>
            <w:r w:rsidRPr="00975E33">
              <w:t>How do we convey the results to participants and others? What’s important to convey?</w:t>
            </w:r>
          </w:p>
        </w:tc>
        <w:tc>
          <w:tcPr>
            <w:tcW w:w="1890" w:type="dxa"/>
            <w:tcBorders>
              <w:top w:val="single" w:sz="4" w:space="0" w:color="004A88"/>
              <w:bottom w:val="single" w:sz="12" w:space="0" w:color="004987"/>
            </w:tcBorders>
            <w:shd w:val="clear" w:color="auto" w:fill="CDE2F5"/>
          </w:tcPr>
          <w:p w14:paraId="52BE5A59" w14:textId="74542736" w:rsidR="00975E33" w:rsidRPr="007F0E18" w:rsidRDefault="00401E2D" w:rsidP="00F51319">
            <w:pPr>
              <w:pStyle w:val="TableTextTablesandCharts"/>
            </w:pPr>
            <w:r>
              <w:t>14</w:t>
            </w:r>
          </w:p>
        </w:tc>
      </w:tr>
    </w:tbl>
    <w:p w14:paraId="3F558DE5" w14:textId="1008CEFE" w:rsidR="00281C52" w:rsidRDefault="00281C52" w:rsidP="00281C52"/>
    <w:p w14:paraId="50315D70" w14:textId="4A38304A" w:rsidR="00281C52" w:rsidRDefault="00975E33" w:rsidP="00975E33">
      <w:pPr>
        <w:pStyle w:val="Heading2"/>
      </w:pPr>
      <w:bookmarkStart w:id="4" w:name="_Toc1737518"/>
      <w:r>
        <w:t>Related r</w:t>
      </w:r>
      <w:r w:rsidR="00281C52">
        <w:t>esources</w:t>
      </w:r>
      <w:bookmarkEnd w:id="4"/>
    </w:p>
    <w:p w14:paraId="269B0C48" w14:textId="072B84FD" w:rsidR="00975E33" w:rsidRDefault="00281C52" w:rsidP="00975E33">
      <w:pPr>
        <w:pStyle w:val="ListParagraph"/>
        <w:numPr>
          <w:ilvl w:val="0"/>
          <w:numId w:val="9"/>
        </w:numPr>
      </w:pPr>
      <w:r>
        <w:t xml:space="preserve">Informatics-Savvy Health Department Toolkit: </w:t>
      </w:r>
      <w:hyperlink r:id="rId17" w:history="1">
        <w:r w:rsidR="00975E33" w:rsidRPr="00C53174">
          <w:rPr>
            <w:rStyle w:val="Hyperlink"/>
          </w:rPr>
          <w:t>www.phii.org/infosavvy</w:t>
        </w:r>
      </w:hyperlink>
    </w:p>
    <w:p w14:paraId="5788C8DE" w14:textId="728320DE" w:rsidR="00975E33" w:rsidRDefault="00281C52" w:rsidP="00975E33">
      <w:pPr>
        <w:pStyle w:val="ListParagraph"/>
        <w:numPr>
          <w:ilvl w:val="0"/>
          <w:numId w:val="9"/>
        </w:numPr>
      </w:pPr>
      <w:r>
        <w:t xml:space="preserve">Informatics Profile Toolkit: </w:t>
      </w:r>
      <w:hyperlink r:id="rId18" w:history="1">
        <w:r w:rsidR="00975E33" w:rsidRPr="00C53174">
          <w:rPr>
            <w:rStyle w:val="Hyperlink"/>
          </w:rPr>
          <w:t>www.phii.org/PHI-Toolkit</w:t>
        </w:r>
      </w:hyperlink>
    </w:p>
    <w:p w14:paraId="3B8B5534" w14:textId="6C6B2E91" w:rsidR="00975E33" w:rsidRDefault="00281C52" w:rsidP="00975E33">
      <w:pPr>
        <w:pStyle w:val="ListParagraph"/>
        <w:numPr>
          <w:ilvl w:val="0"/>
          <w:numId w:val="9"/>
        </w:numPr>
      </w:pPr>
      <w:r>
        <w:t xml:space="preserve">Communicating about informatics: </w:t>
      </w:r>
      <w:hyperlink r:id="rId19" w:history="1">
        <w:r w:rsidR="00975E33" w:rsidRPr="00C53174">
          <w:rPr>
            <w:rStyle w:val="Hyperlink"/>
          </w:rPr>
          <w:t>www.phii.org/informatics-communication-toolkit</w:t>
        </w:r>
      </w:hyperlink>
      <w:r>
        <w:t xml:space="preserve"> </w:t>
      </w:r>
    </w:p>
    <w:p w14:paraId="4E85AE70" w14:textId="62483363" w:rsidR="00975E33" w:rsidRDefault="00281C52" w:rsidP="00975E33">
      <w:pPr>
        <w:pStyle w:val="ListParagraph"/>
        <w:numPr>
          <w:ilvl w:val="0"/>
          <w:numId w:val="9"/>
        </w:numPr>
      </w:pPr>
      <w:r>
        <w:t xml:space="preserve">CDC’s Public Health 101 Series course on informatics: </w:t>
      </w:r>
      <w:hyperlink r:id="rId20" w:history="1">
        <w:r w:rsidR="00975E33" w:rsidRPr="00C53174">
          <w:rPr>
            <w:rStyle w:val="Hyperlink"/>
          </w:rPr>
          <w:t>www.cdc.gov/publichealth101/informatics.html</w:t>
        </w:r>
      </w:hyperlink>
    </w:p>
    <w:p w14:paraId="792A11B2" w14:textId="63449BB6" w:rsidR="00975E33" w:rsidRDefault="00281C52" w:rsidP="00975E33">
      <w:pPr>
        <w:pStyle w:val="ListParagraph"/>
        <w:numPr>
          <w:ilvl w:val="0"/>
          <w:numId w:val="9"/>
        </w:numPr>
      </w:pPr>
      <w:r>
        <w:t xml:space="preserve">Additional informatics resources from PHII: </w:t>
      </w:r>
      <w:hyperlink r:id="rId21" w:history="1">
        <w:r w:rsidR="00975E33" w:rsidRPr="00C53174">
          <w:rPr>
            <w:rStyle w:val="Hyperlink"/>
          </w:rPr>
          <w:t>www.phii.org/resources</w:t>
        </w:r>
      </w:hyperlink>
    </w:p>
    <w:p w14:paraId="5A16856F" w14:textId="34571CF4" w:rsidR="008669EA" w:rsidRDefault="008669EA">
      <w:pPr>
        <w:suppressAutoHyphens w:val="0"/>
        <w:autoSpaceDE/>
        <w:autoSpaceDN/>
        <w:adjustRightInd/>
        <w:spacing w:after="160" w:line="259" w:lineRule="auto"/>
        <w:textAlignment w:val="auto"/>
      </w:pPr>
      <w:r>
        <w:br w:type="page"/>
      </w:r>
    </w:p>
    <w:p w14:paraId="0CFE87CC" w14:textId="5EA66AA2" w:rsidR="008669EA" w:rsidRDefault="000E3E81" w:rsidP="00CF48D3">
      <w:pPr>
        <w:pStyle w:val="Heading1"/>
        <w:spacing w:after="120"/>
      </w:pPr>
      <w:bookmarkStart w:id="5" w:name="_Toc1737519"/>
      <w:r>
        <w:lastRenderedPageBreak/>
        <w:t>Understanding the informatics-savvy health department self-assessment t</w:t>
      </w:r>
      <w:r w:rsidR="008669EA" w:rsidRPr="008669EA">
        <w:t>ool</w:t>
      </w:r>
      <w:bookmarkEnd w:id="5"/>
    </w:p>
    <w:p w14:paraId="579851D3" w14:textId="14F38EF7" w:rsidR="000E3E81" w:rsidRDefault="000E3E81" w:rsidP="008669EA">
      <w:pPr>
        <w:rPr>
          <w:noProof/>
        </w:rPr>
      </w:pPr>
      <w:r>
        <w:rPr>
          <w:noProof/>
        </w:rPr>
        <mc:AlternateContent>
          <mc:Choice Requires="wps">
            <w:drawing>
              <wp:anchor distT="45720" distB="45720" distL="182880" distR="91440" simplePos="0" relativeHeight="251667456" behindDoc="0" locked="0" layoutInCell="1" allowOverlap="1" wp14:anchorId="0E33AD60" wp14:editId="73104631">
                <wp:simplePos x="0" y="0"/>
                <wp:positionH relativeFrom="page">
                  <wp:posOffset>5048250</wp:posOffset>
                </wp:positionH>
                <wp:positionV relativeFrom="page">
                  <wp:posOffset>2295525</wp:posOffset>
                </wp:positionV>
                <wp:extent cx="2286000" cy="1804035"/>
                <wp:effectExtent l="0" t="0" r="0" b="57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04035"/>
                        </a:xfrm>
                        <a:prstGeom prst="rect">
                          <a:avLst/>
                        </a:prstGeom>
                        <a:solidFill>
                          <a:srgbClr val="5C8CB6"/>
                        </a:solidFill>
                        <a:ln w="9525">
                          <a:noFill/>
                          <a:miter lim="800000"/>
                          <a:headEnd/>
                          <a:tailEnd/>
                        </a:ln>
                      </wps:spPr>
                      <wps:txbx>
                        <w:txbxContent>
                          <w:p w14:paraId="3A50A993" w14:textId="511E7E34" w:rsidR="00F51319" w:rsidRPr="00873800" w:rsidRDefault="00F51319" w:rsidP="000E3E81">
                            <w:pPr>
                              <w:pStyle w:val="PullQuotenoSidebarsandImgCaption"/>
                              <w:rPr>
                                <w:sz w:val="24"/>
                              </w:rPr>
                            </w:pPr>
                            <w:r w:rsidRPr="00873800">
                              <w:rPr>
                                <w:sz w:val="24"/>
                              </w:rPr>
                              <w:t>The healthcare sector, upon which public health depends for much of its information, has rapidly gone digital and expects health departments to adhere to national health data standards.</w:t>
                            </w:r>
                          </w:p>
                        </w:txbxContent>
                      </wps:txbx>
                      <wps:bodyPr rot="0" vert="horz" wrap="square" lIns="137160" tIns="137160" rIns="137160" bIns="13716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E33AD60" id="_x0000_s1028" type="#_x0000_t202" style="position:absolute;margin-left:397.5pt;margin-top:180.75pt;width:180pt;height:142.05pt;z-index:251667456;visibility:visible;mso-wrap-style:square;mso-width-percent:0;mso-height-percent:0;mso-wrap-distance-left:14.4pt;mso-wrap-distance-top:3.6pt;mso-wrap-distance-right:7.2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" fillcolor="#5c8cb6" stroked="f">
                <v:textbox inset="10.8pt,10.8pt,10.8pt,10.8pt">
                  <w:txbxContent>
                    <w:p w14:paraId="3A50A993" w14:textId="511E7E34" w:rsidR="00F51319" w:rsidRPr="00873800" w:rsidRDefault="00F51319" w:rsidP="000E3E81">
                      <w:pPr>
                        <w:pStyle w:val="PullQuotenoSidebarsandImgCaption"/>
                        <w:rPr>
                          <w:sz w:val="24"/>
                        </w:rPr>
                      </w:pPr>
                      <w:r w:rsidRPr="00873800">
                        <w:rPr>
                          <w:sz w:val="24"/>
                        </w:rPr>
                        <w:t>The healthcare sector, upon which public health depends for much of its information, has rapidly gone digital and expects health departments to adhere to national health data standards.</w:t>
                      </w:r>
                    </w:p>
                  </w:txbxContent>
                </v:textbox>
                <w10:wrap type="square" anchorx="page" anchory="page"/>
              </v:shape>
            </w:pict>
          </mc:Fallback>
        </mc:AlternateContent>
      </w:r>
      <w:r w:rsidRPr="000E3E81">
        <w:t xml:space="preserve">Health departments are challenged as never before to make effective use of </w:t>
      </w:r>
      <w:r w:rsidR="00CF48D3">
        <w:t xml:space="preserve">the </w:t>
      </w:r>
      <w:r w:rsidRPr="000E3E81">
        <w:t xml:space="preserve">information </w:t>
      </w:r>
      <w:r w:rsidR="00CF48D3">
        <w:t>that</w:t>
      </w:r>
      <w:r w:rsidRPr="000E3E81">
        <w:t xml:space="preserve"> is coming to health departments in ever larger volumes and varieties and moving at increasing velocities. The interest in population health data and analytics is exploding, threatening to leave health departments behind if they cannot be a credible data exchange and data use partner.</w:t>
      </w:r>
      <w:r w:rsidRPr="000E3E81">
        <w:rPr>
          <w:noProof/>
        </w:rPr>
        <w:t xml:space="preserve"> </w:t>
      </w:r>
    </w:p>
    <w:p w14:paraId="6FBBBE3B" w14:textId="28487431" w:rsidR="000E3E81" w:rsidRDefault="000E3E81" w:rsidP="000E3E81">
      <w:r>
        <w:t xml:space="preserve">Meanwhile, shrinking workforces and budgets, aging information systems, rising costs for supporting information systems, and the centralization of IT services are stressing health departments precisely when they need to be expanding their information capabilities. </w:t>
      </w:r>
    </w:p>
    <w:p w14:paraId="0DF75236" w14:textId="57A51B2F" w:rsidR="000E3E81" w:rsidRDefault="00873800" w:rsidP="000E3E81">
      <w:r>
        <w:rPr>
          <w:noProof/>
        </w:rPr>
        <mc:AlternateContent>
          <mc:Choice Requires="wps">
            <w:drawing>
              <wp:anchor distT="45720" distB="45720" distL="182880" distR="91440" simplePos="0" relativeHeight="251669504" behindDoc="0" locked="0" layoutInCell="1" allowOverlap="1" wp14:anchorId="670CA233" wp14:editId="7AE0E8CC">
                <wp:simplePos x="0" y="0"/>
                <wp:positionH relativeFrom="page">
                  <wp:posOffset>5046345</wp:posOffset>
                </wp:positionH>
                <wp:positionV relativeFrom="page">
                  <wp:posOffset>4741545</wp:posOffset>
                </wp:positionV>
                <wp:extent cx="2286000" cy="2715260"/>
                <wp:effectExtent l="0" t="0" r="0" b="88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15260"/>
                        </a:xfrm>
                        <a:prstGeom prst="rect">
                          <a:avLst/>
                        </a:prstGeom>
                        <a:solidFill>
                          <a:srgbClr val="5C8CB6"/>
                        </a:solidFill>
                        <a:ln w="9525">
                          <a:noFill/>
                          <a:miter lim="800000"/>
                          <a:headEnd/>
                          <a:tailEnd/>
                        </a:ln>
                      </wps:spPr>
                      <wps:txbx>
                        <w:txbxContent>
                          <w:p w14:paraId="3C089EBA" w14:textId="6E51553A" w:rsidR="00F51319" w:rsidRPr="00873800" w:rsidRDefault="00F51319" w:rsidP="00873800">
                            <w:pPr>
                              <w:pStyle w:val="PullQuotenoSidebarsandImgCaption"/>
                              <w:rPr>
                                <w:sz w:val="24"/>
                              </w:rPr>
                            </w:pPr>
                            <w:r w:rsidRPr="00873800">
                              <w:rPr>
                                <w:sz w:val="24"/>
                              </w:rPr>
                              <w:t>To be effective in the information age, a health department must be “informatics-savvy.” But what does that mean in concrete and actionable terms? How would we know an “informatics-savvy health department” when we see one? And how can we find out how informatics-savvy our own health department is?</w:t>
                            </w:r>
                          </w:p>
                        </w:txbxContent>
                      </wps:txbx>
                      <wps:bodyPr rot="0" vert="horz" wrap="square" lIns="137160" tIns="137160" rIns="137160" bIns="137160" anchor="b"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70CA233" id="_x0000_s1029" type="#_x0000_t202" style="position:absolute;margin-left:397.35pt;margin-top:373.35pt;width:180pt;height:112.3pt;z-index:251669504;visibility:visible;mso-wrap-style:square;mso-width-percent:0;mso-height-percent:0;mso-wrap-distance-left:14.4pt;mso-wrap-distance-top:3.6pt;mso-wrap-distance-right:7.2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" fillcolor="#5c8cb6" stroked="f">
                <v:textbox style="mso-fit-shape-to-text:t" inset="10.8pt,10.8pt,10.8pt,10.8pt">
                  <w:txbxContent>
                    <w:p w14:paraId="3C089EBA" w14:textId="6E51553A" w:rsidR="00F51319" w:rsidRPr="00873800" w:rsidRDefault="00F51319" w:rsidP="00873800">
                      <w:pPr>
                        <w:pStyle w:val="PullQuotenoSidebarsandImgCaption"/>
                        <w:rPr>
                          <w:sz w:val="24"/>
                        </w:rPr>
                      </w:pPr>
                      <w:r w:rsidRPr="00873800">
                        <w:rPr>
                          <w:sz w:val="24"/>
                        </w:rPr>
                        <w:t>To be effective in the information age, a health department must be “informatics-savvy.” But what does that mean in concrete and actionable terms? How would we know an “informatics-savvy health department” when we see one? And how can we find out how informatics-savvy our own health department is?</w:t>
                      </w:r>
                    </w:p>
                  </w:txbxContent>
                </v:textbox>
                <w10:wrap type="square" anchorx="page" anchory="page"/>
              </v:shape>
            </w:pict>
          </mc:Fallback>
        </mc:AlternateContent>
      </w:r>
      <w:r w:rsidR="000E3E81">
        <w:t>On the positive side, the opportunities to form commun</w:t>
      </w:r>
      <w:r w:rsidR="00CF48D3">
        <w:t>ity information partnerships have</w:t>
      </w:r>
      <w:r w:rsidR="000E3E81">
        <w:t xml:space="preserve"> never been greater, and the interest in population health data, social determinants of health, and more </w:t>
      </w:r>
      <w:r w:rsidR="00CF48D3">
        <w:t>holistic</w:t>
      </w:r>
      <w:r w:rsidR="000E3E81">
        <w:t xml:space="preserve"> approaches to viewing community and individual health provide exciting opportunities for those health departments with the vision to seize the openings. And those seeking national public health department accreditation know that good information management is key to being effective both operationally and with their community partners.</w:t>
      </w:r>
    </w:p>
    <w:p w14:paraId="6A5847E4" w14:textId="363D6D72" w:rsidR="00873800" w:rsidRDefault="00873800" w:rsidP="000E3E81">
      <w:pPr>
        <w:rPr>
          <w:rFonts w:cstheme="majorHAnsi"/>
        </w:rPr>
      </w:pPr>
      <w:r w:rsidRPr="00CC5E66">
        <w:rPr>
          <w:rFonts w:cstheme="majorHAnsi"/>
        </w:rPr>
        <w:t xml:space="preserve">Fortunately, effectively addressing information challenges and </w:t>
      </w:r>
      <w:r>
        <w:rPr>
          <w:rFonts w:cstheme="majorHAnsi"/>
        </w:rPr>
        <w:t>optimizing</w:t>
      </w:r>
      <w:r w:rsidRPr="00CC5E66">
        <w:rPr>
          <w:rFonts w:cstheme="majorHAnsi"/>
        </w:rPr>
        <w:t xml:space="preserve"> opportunities is precisely what the discipline of applied public health informatics is about. At its heart, public health informatics is about using information and information technology effectively to improve population health outcomes. (More on how to communicate about the field of public health informatics can be found at </w:t>
      </w:r>
      <w:hyperlink r:id="rId22" w:history="1">
        <w:r w:rsidRPr="00CC5E66">
          <w:rPr>
            <w:rStyle w:val="Hyperlink"/>
            <w:rFonts w:cstheme="majorHAnsi"/>
            <w:color w:val="auto"/>
          </w:rPr>
          <w:t>https://www.phii.org/informatics-communication-toolkit</w:t>
        </w:r>
      </w:hyperlink>
      <w:r w:rsidRPr="00CC5E66">
        <w:rPr>
          <w:rFonts w:cstheme="majorHAnsi"/>
        </w:rPr>
        <w:t>.)</w:t>
      </w:r>
    </w:p>
    <w:p w14:paraId="7F34A95D" w14:textId="1A517EBC" w:rsidR="00873800" w:rsidRPr="00CC5E66" w:rsidRDefault="00873800" w:rsidP="00873800">
      <w:pPr>
        <w:rPr>
          <w:rFonts w:cstheme="majorHAnsi"/>
        </w:rPr>
      </w:pPr>
      <w:r w:rsidRPr="00CC5E66">
        <w:rPr>
          <w:rFonts w:cstheme="majorHAnsi"/>
        </w:rPr>
        <w:t xml:space="preserve">The Informatics-Savvy Health Department Toolkit was developed by </w:t>
      </w:r>
      <w:r w:rsidR="00CF48D3">
        <w:rPr>
          <w:rFonts w:cstheme="majorHAnsi"/>
        </w:rPr>
        <w:t>the Public Health Informatics Institute (</w:t>
      </w:r>
      <w:r w:rsidRPr="00CC5E66">
        <w:rPr>
          <w:rFonts w:cstheme="majorHAnsi"/>
        </w:rPr>
        <w:t>PHII</w:t>
      </w:r>
      <w:r w:rsidR="00CF48D3">
        <w:rPr>
          <w:rFonts w:cstheme="majorHAnsi"/>
        </w:rPr>
        <w:t>)</w:t>
      </w:r>
      <w:r w:rsidRPr="00CC5E66">
        <w:rPr>
          <w:rFonts w:cstheme="majorHAnsi"/>
        </w:rPr>
        <w:t xml:space="preserve"> to help </w:t>
      </w:r>
      <w:r>
        <w:rPr>
          <w:rFonts w:cstheme="majorHAnsi"/>
        </w:rPr>
        <w:t>health departments of all sizes assess their current information capabilities and to both strategically and tactically plan for building informatics capacity</w:t>
      </w:r>
      <w:r w:rsidRPr="00CC5E66">
        <w:rPr>
          <w:rFonts w:cstheme="majorHAnsi"/>
        </w:rPr>
        <w:t xml:space="preserve">. The foundation of the toolkit is an Informatics-Savvy Health Department Self-Assessment instrument, a field-tested tool to guide a health department through assessing its informatics strengths and weaknesses in three </w:t>
      </w:r>
      <w:r>
        <w:rPr>
          <w:rFonts w:cstheme="majorHAnsi"/>
        </w:rPr>
        <w:t>areas</w:t>
      </w:r>
      <w:r w:rsidRPr="00CC5E66">
        <w:rPr>
          <w:rFonts w:cstheme="majorHAnsi"/>
        </w:rPr>
        <w:t>:</w:t>
      </w:r>
    </w:p>
    <w:p w14:paraId="22525477" w14:textId="77777777" w:rsidR="00873800" w:rsidRPr="00CC5E66" w:rsidRDefault="00873800" w:rsidP="00873800">
      <w:pPr>
        <w:pStyle w:val="ListParagraph"/>
        <w:numPr>
          <w:ilvl w:val="0"/>
          <w:numId w:val="10"/>
        </w:numPr>
        <w:tabs>
          <w:tab w:val="clear" w:pos="360"/>
        </w:tabs>
        <w:suppressAutoHyphens w:val="0"/>
        <w:autoSpaceDE/>
        <w:autoSpaceDN/>
        <w:adjustRightInd/>
        <w:spacing w:after="0" w:line="240" w:lineRule="auto"/>
        <w:contextualSpacing/>
        <w:textAlignment w:val="auto"/>
        <w:rPr>
          <w:rFonts w:cstheme="majorHAnsi"/>
        </w:rPr>
      </w:pPr>
      <w:r w:rsidRPr="00CC5E66">
        <w:rPr>
          <w:rFonts w:cstheme="majorHAnsi"/>
        </w:rPr>
        <w:t>Having a clear informatics vision, strategies and governance</w:t>
      </w:r>
    </w:p>
    <w:p w14:paraId="4B7F207D" w14:textId="77777777" w:rsidR="00873800" w:rsidRPr="00CC5E66" w:rsidRDefault="00873800" w:rsidP="00873800">
      <w:pPr>
        <w:pStyle w:val="ListParagraph"/>
        <w:numPr>
          <w:ilvl w:val="0"/>
          <w:numId w:val="10"/>
        </w:numPr>
        <w:tabs>
          <w:tab w:val="clear" w:pos="360"/>
        </w:tabs>
        <w:suppressAutoHyphens w:val="0"/>
        <w:autoSpaceDE/>
        <w:autoSpaceDN/>
        <w:adjustRightInd/>
        <w:spacing w:after="0" w:line="240" w:lineRule="auto"/>
        <w:contextualSpacing/>
        <w:textAlignment w:val="auto"/>
        <w:rPr>
          <w:rFonts w:cstheme="majorHAnsi"/>
        </w:rPr>
      </w:pPr>
      <w:r w:rsidRPr="00CC5E66">
        <w:rPr>
          <w:rFonts w:cstheme="majorHAnsi"/>
        </w:rPr>
        <w:t>Having a workforce skilled in working with information and information technology</w:t>
      </w:r>
    </w:p>
    <w:p w14:paraId="6C016C28" w14:textId="291C7964" w:rsidR="00873800" w:rsidRPr="00873800" w:rsidRDefault="00873800" w:rsidP="00873800">
      <w:pPr>
        <w:pStyle w:val="ListParagraph"/>
        <w:numPr>
          <w:ilvl w:val="0"/>
          <w:numId w:val="10"/>
        </w:numPr>
        <w:tabs>
          <w:tab w:val="clear" w:pos="360"/>
        </w:tabs>
        <w:suppressAutoHyphens w:val="0"/>
        <w:autoSpaceDE/>
        <w:autoSpaceDN/>
        <w:adjustRightInd/>
        <w:spacing w:after="0" w:line="240" w:lineRule="auto"/>
        <w:contextualSpacing/>
        <w:textAlignment w:val="auto"/>
        <w:rPr>
          <w:rFonts w:cstheme="majorHAnsi"/>
        </w:rPr>
      </w:pPr>
      <w:r>
        <w:rPr>
          <w:rFonts w:cstheme="majorHAnsi"/>
        </w:rPr>
        <w:t>Having well</w:t>
      </w:r>
      <w:r w:rsidRPr="00CC5E66">
        <w:rPr>
          <w:rFonts w:cstheme="majorHAnsi"/>
        </w:rPr>
        <w:t>-designed and effectively-used information systems.</w:t>
      </w:r>
    </w:p>
    <w:p w14:paraId="626AB778" w14:textId="1675E367" w:rsidR="00873800" w:rsidRPr="00CF48D3" w:rsidRDefault="00873800" w:rsidP="00CF48D3">
      <w:pPr>
        <w:pStyle w:val="IntenseQuote"/>
        <w:spacing w:before="280" w:after="260"/>
      </w:pPr>
      <w:r>
        <w:t>Visit www.phii.org/infosavvy for the complete informatics-savvy health department toolkit</w:t>
      </w:r>
      <w:r w:rsidRPr="00873800">
        <w:rPr>
          <w:sz w:val="2"/>
        </w:rPr>
        <w:br w:type="page"/>
      </w:r>
    </w:p>
    <w:p w14:paraId="637D2D37" w14:textId="2C168D75" w:rsidR="00873800" w:rsidRDefault="00D172C2" w:rsidP="00D172C2">
      <w:r w:rsidRPr="00CC5E66">
        <w:rPr>
          <w:rFonts w:cstheme="majorHAnsi"/>
          <w:noProof/>
        </w:rPr>
        <w:lastRenderedPageBreak/>
        <w:drawing>
          <wp:anchor distT="0" distB="0" distL="114300" distR="114300" simplePos="0" relativeHeight="251671552" behindDoc="1" locked="0" layoutInCell="1" allowOverlap="1" wp14:anchorId="676479D4" wp14:editId="72C153B1">
            <wp:simplePos x="0" y="0"/>
            <wp:positionH relativeFrom="column">
              <wp:posOffset>3676650</wp:posOffset>
            </wp:positionH>
            <wp:positionV relativeFrom="paragraph">
              <wp:posOffset>0</wp:posOffset>
            </wp:positionV>
            <wp:extent cx="2758440" cy="2462530"/>
            <wp:effectExtent l="50800" t="0" r="238760" b="0"/>
            <wp:wrapSquare wrapText="bothSides"/>
            <wp:docPr id="1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r w:rsidRPr="00D172C2">
        <w:t>For each of the three areas</w:t>
      </w:r>
      <w:r>
        <w:t xml:space="preserve"> described above</w:t>
      </w:r>
      <w:r w:rsidRPr="00D172C2">
        <w:t>, the self-assessment tool provides questions on specific information capabilities. Each question includes a range of closed-ended response options that are ba</w:t>
      </w:r>
      <w:r w:rsidR="00C52023">
        <w:t xml:space="preserve">sed on six levels of maturity, </w:t>
      </w:r>
      <w:r w:rsidRPr="00D172C2">
        <w:t xml:space="preserve">adapted from the Capability Maturity Model developed by the Software Engineering Institute </w:t>
      </w:r>
      <w:r w:rsidR="00C52023">
        <w:t xml:space="preserve">at Carnegie Mellon University </w:t>
      </w:r>
      <w:r w:rsidRPr="00D172C2">
        <w:t>(see Table 1). The model describes the progressive stages an organization advances through as it adopts a new process or practice. It is not uncommon for organizations, even successful ones, to be at relatively low levels of this model. This reflects the organizational challenges that are inevitable with formally establishing new ways of working across an organization and then rigorously evaluating that work.</w:t>
      </w:r>
    </w:p>
    <w:p w14:paraId="073A94EB" w14:textId="23786D95" w:rsidR="00D172C2" w:rsidRPr="00CC5E66" w:rsidRDefault="00D172C2" w:rsidP="00D172C2">
      <w:pPr>
        <w:pStyle w:val="Heading3"/>
      </w:pPr>
      <w:bookmarkStart w:id="6" w:name="_Toc1737520"/>
      <w:r w:rsidRPr="00CC5E66">
        <w:t>Table 1. C</w:t>
      </w:r>
      <w:r w:rsidR="00C52023">
        <w:t>apability Maturity Model (CMM) l</w:t>
      </w:r>
      <w:r w:rsidRPr="00CC5E66">
        <w:t>evels (adapted)</w:t>
      </w:r>
      <w:r w:rsidRPr="00CC5E66">
        <w:rPr>
          <w:rStyle w:val="FootnoteReference"/>
          <w:rFonts w:cstheme="majorHAnsi"/>
          <w:b/>
          <w:sz w:val="22"/>
          <w:szCs w:val="22"/>
        </w:rPr>
        <w:t xml:space="preserve"> </w:t>
      </w:r>
      <w:r w:rsidRPr="00CC5E66">
        <w:rPr>
          <w:rStyle w:val="FootnoteReference"/>
          <w:rFonts w:cstheme="majorHAnsi"/>
          <w:b/>
          <w:sz w:val="22"/>
          <w:szCs w:val="22"/>
        </w:rPr>
        <w:footnoteReference w:id="1"/>
      </w:r>
      <w:bookmarkEnd w:id="6"/>
    </w:p>
    <w:p w14:paraId="7DD80B12" w14:textId="77777777" w:rsidR="00D172C2" w:rsidRDefault="00D172C2" w:rsidP="00D172C2"/>
    <w:tbl>
      <w:tblPr>
        <w:tblpPr w:leftFromText="180" w:rightFromText="180" w:vertAnchor="page" w:horzAnchor="margin" w:tblpY="6016"/>
        <w:tblW w:w="9450" w:type="dxa"/>
        <w:tblLayout w:type="fixed"/>
        <w:tblCellMar>
          <w:left w:w="0" w:type="dxa"/>
          <w:right w:w="0" w:type="dxa"/>
        </w:tblCellMar>
        <w:tblLook w:val="0000" w:firstRow="0" w:lastRow="0" w:firstColumn="0" w:lastColumn="0" w:noHBand="0" w:noVBand="0"/>
      </w:tblPr>
      <w:tblGrid>
        <w:gridCol w:w="1980"/>
        <w:gridCol w:w="7470"/>
      </w:tblGrid>
      <w:tr w:rsidR="00D172C2" w:rsidRPr="00D53F69" w14:paraId="084F2788" w14:textId="77777777" w:rsidTr="00D172C2">
        <w:trPr>
          <w:trHeight w:val="60"/>
          <w:tblHeader/>
        </w:trPr>
        <w:tc>
          <w:tcPr>
            <w:tcW w:w="1980" w:type="dxa"/>
            <w:tcBorders>
              <w:top w:val="single" w:sz="12" w:space="0" w:color="004A88"/>
              <w:bottom w:val="single" w:sz="8" w:space="0" w:color="004A88"/>
              <w:right w:val="single" w:sz="4" w:space="0" w:color="FFFFFF" w:themeColor="background1"/>
            </w:tcBorders>
            <w:shd w:val="clear" w:color="auto" w:fill="5C8CB6"/>
            <w:tcMar>
              <w:top w:w="80" w:type="dxa"/>
              <w:left w:w="80" w:type="dxa"/>
              <w:bottom w:w="80" w:type="dxa"/>
              <w:right w:w="80" w:type="dxa"/>
            </w:tcMar>
          </w:tcPr>
          <w:p w14:paraId="334FC04F" w14:textId="77777777" w:rsidR="00D172C2" w:rsidRPr="00D53F69" w:rsidRDefault="00D172C2" w:rsidP="00D172C2">
            <w:pPr>
              <w:spacing w:after="90" w:line="220" w:lineRule="atLeast"/>
              <w:rPr>
                <w:b/>
                <w:bCs/>
                <w:color w:val="FFFFFF"/>
              </w:rPr>
            </w:pPr>
            <w:r>
              <w:rPr>
                <w:b/>
                <w:bCs/>
                <w:color w:val="FFFFFF"/>
              </w:rPr>
              <w:t>CMM level name</w:t>
            </w:r>
          </w:p>
        </w:tc>
        <w:tc>
          <w:tcPr>
            <w:tcW w:w="7470" w:type="dxa"/>
            <w:tcBorders>
              <w:top w:val="single" w:sz="12" w:space="0" w:color="004A88"/>
              <w:left w:val="single" w:sz="4" w:space="0" w:color="FFFFFF" w:themeColor="background1"/>
              <w:bottom w:val="single" w:sz="8" w:space="0" w:color="004A88"/>
              <w:right w:val="single" w:sz="4" w:space="0" w:color="FFFFFF" w:themeColor="background1"/>
            </w:tcBorders>
            <w:shd w:val="clear" w:color="auto" w:fill="5C8CB6"/>
            <w:tcMar>
              <w:top w:w="80" w:type="dxa"/>
              <w:left w:w="80" w:type="dxa"/>
              <w:bottom w:w="80" w:type="dxa"/>
              <w:right w:w="80" w:type="dxa"/>
            </w:tcMar>
          </w:tcPr>
          <w:p w14:paraId="15917556" w14:textId="77777777" w:rsidR="00D172C2" w:rsidRPr="00D53F69" w:rsidRDefault="00D172C2" w:rsidP="00D172C2">
            <w:pPr>
              <w:spacing w:after="90" w:line="220" w:lineRule="atLeast"/>
              <w:rPr>
                <w:b/>
                <w:bCs/>
                <w:color w:val="FFFFFF"/>
              </w:rPr>
            </w:pPr>
            <w:r>
              <w:rPr>
                <w:b/>
                <w:bCs/>
                <w:color w:val="FFFFFF"/>
              </w:rPr>
              <w:t>General description</w:t>
            </w:r>
          </w:p>
        </w:tc>
      </w:tr>
      <w:tr w:rsidR="00D172C2" w:rsidRPr="00D53F69" w14:paraId="2ECE8CFB" w14:textId="77777777" w:rsidTr="00D172C2">
        <w:trPr>
          <w:trHeight w:val="90"/>
        </w:trPr>
        <w:tc>
          <w:tcPr>
            <w:tcW w:w="1980" w:type="dxa"/>
            <w:tcBorders>
              <w:top w:val="single" w:sz="8" w:space="0" w:color="004A88"/>
              <w:bottom w:val="single" w:sz="4" w:space="0" w:color="004A88"/>
              <w:right w:val="single" w:sz="4" w:space="0" w:color="004A88"/>
            </w:tcBorders>
            <w:tcMar>
              <w:top w:w="90" w:type="dxa"/>
              <w:left w:w="90" w:type="dxa"/>
              <w:bottom w:w="90" w:type="dxa"/>
              <w:right w:w="90" w:type="dxa"/>
            </w:tcMar>
          </w:tcPr>
          <w:p w14:paraId="5FAC443A" w14:textId="77777777" w:rsidR="00D172C2" w:rsidRPr="00D53F69" w:rsidRDefault="00D172C2" w:rsidP="00D172C2">
            <w:pPr>
              <w:spacing w:after="90" w:line="220" w:lineRule="atLeast"/>
              <w:rPr>
                <w:sz w:val="20"/>
                <w:szCs w:val="20"/>
              </w:rPr>
            </w:pPr>
            <w:r>
              <w:rPr>
                <w:sz w:val="20"/>
                <w:szCs w:val="20"/>
              </w:rPr>
              <w:t>0 - Absent</w:t>
            </w:r>
          </w:p>
        </w:tc>
        <w:tc>
          <w:tcPr>
            <w:tcW w:w="7470" w:type="dxa"/>
            <w:tcBorders>
              <w:top w:val="single" w:sz="8" w:space="0" w:color="004A88"/>
              <w:left w:val="single" w:sz="4" w:space="0" w:color="004A88"/>
              <w:bottom w:val="single" w:sz="4" w:space="0" w:color="004A88"/>
              <w:right w:val="single" w:sz="4" w:space="0" w:color="004A88"/>
            </w:tcBorders>
            <w:tcMar>
              <w:top w:w="90" w:type="dxa"/>
              <w:left w:w="90" w:type="dxa"/>
              <w:bottom w:w="90" w:type="dxa"/>
              <w:right w:w="90" w:type="dxa"/>
            </w:tcMar>
          </w:tcPr>
          <w:p w14:paraId="6EC24B45" w14:textId="77777777" w:rsidR="00D172C2" w:rsidRPr="00D53F69" w:rsidRDefault="00D172C2" w:rsidP="00D172C2">
            <w:pPr>
              <w:spacing w:after="90" w:line="220" w:lineRule="atLeast"/>
              <w:rPr>
                <w:sz w:val="20"/>
                <w:szCs w:val="20"/>
              </w:rPr>
            </w:pPr>
            <w:r w:rsidRPr="00D53F69">
              <w:rPr>
                <w:sz w:val="20"/>
                <w:szCs w:val="20"/>
              </w:rPr>
              <w:t>No capability is evident; “starting from scratch.”</w:t>
            </w:r>
          </w:p>
        </w:tc>
      </w:tr>
      <w:tr w:rsidR="00D172C2" w:rsidRPr="00D53F69" w14:paraId="11CAA3B3" w14:textId="77777777" w:rsidTr="00D172C2">
        <w:trPr>
          <w:trHeight w:val="90"/>
        </w:trPr>
        <w:tc>
          <w:tcPr>
            <w:tcW w:w="1980" w:type="dxa"/>
            <w:tcBorders>
              <w:top w:val="single" w:sz="4" w:space="0" w:color="004A88"/>
              <w:bottom w:val="single" w:sz="4" w:space="0" w:color="004A88"/>
              <w:right w:val="single" w:sz="4" w:space="0" w:color="004A88"/>
            </w:tcBorders>
            <w:shd w:val="clear" w:color="auto" w:fill="CDE2F5"/>
            <w:tcMar>
              <w:top w:w="90" w:type="dxa"/>
              <w:left w:w="90" w:type="dxa"/>
              <w:bottom w:w="90" w:type="dxa"/>
              <w:right w:w="90" w:type="dxa"/>
            </w:tcMar>
          </w:tcPr>
          <w:p w14:paraId="450336D9" w14:textId="77777777" w:rsidR="00D172C2" w:rsidRPr="00D53F69" w:rsidRDefault="00D172C2" w:rsidP="00D172C2">
            <w:pPr>
              <w:spacing w:after="90" w:line="220" w:lineRule="atLeast"/>
              <w:rPr>
                <w:sz w:val="20"/>
                <w:szCs w:val="20"/>
              </w:rPr>
            </w:pPr>
            <w:r>
              <w:rPr>
                <w:sz w:val="20"/>
                <w:szCs w:val="20"/>
              </w:rPr>
              <w:t>1 - Initial</w:t>
            </w:r>
          </w:p>
        </w:tc>
        <w:tc>
          <w:tcPr>
            <w:tcW w:w="7470" w:type="dxa"/>
            <w:tcBorders>
              <w:top w:val="single" w:sz="4" w:space="0" w:color="004A88"/>
              <w:left w:val="single" w:sz="4" w:space="0" w:color="004A88"/>
              <w:bottom w:val="single" w:sz="4" w:space="0" w:color="004A88"/>
              <w:right w:val="single" w:sz="4" w:space="0" w:color="004A88"/>
            </w:tcBorders>
            <w:shd w:val="clear" w:color="auto" w:fill="CDE2F5"/>
            <w:tcMar>
              <w:top w:w="90" w:type="dxa"/>
              <w:left w:w="90" w:type="dxa"/>
              <w:bottom w:w="90" w:type="dxa"/>
              <w:right w:w="90" w:type="dxa"/>
            </w:tcMar>
          </w:tcPr>
          <w:p w14:paraId="275C0F7B" w14:textId="77777777" w:rsidR="00D172C2" w:rsidRPr="00D53F69" w:rsidRDefault="00D172C2" w:rsidP="00D172C2">
            <w:pPr>
              <w:spacing w:after="90" w:line="220" w:lineRule="atLeast"/>
              <w:rPr>
                <w:sz w:val="20"/>
                <w:szCs w:val="20"/>
              </w:rPr>
            </w:pPr>
            <w:r w:rsidRPr="00D53F69">
              <w:rPr>
                <w:sz w:val="20"/>
                <w:szCs w:val="20"/>
              </w:rPr>
              <w:t>No organized, systematic efforts to build informatics capacity</w:t>
            </w:r>
            <w:r>
              <w:rPr>
                <w:sz w:val="20"/>
                <w:szCs w:val="20"/>
              </w:rPr>
              <w:t xml:space="preserve"> exist</w:t>
            </w:r>
            <w:r w:rsidRPr="00D53F69">
              <w:rPr>
                <w:sz w:val="20"/>
                <w:szCs w:val="20"/>
              </w:rPr>
              <w:t>, only ad hoc efforts and isolated, individual heroics.</w:t>
            </w:r>
          </w:p>
        </w:tc>
      </w:tr>
      <w:tr w:rsidR="00D172C2" w:rsidRPr="00D53F69" w14:paraId="5049F4BD" w14:textId="77777777" w:rsidTr="00D172C2">
        <w:trPr>
          <w:trHeight w:val="90"/>
        </w:trPr>
        <w:tc>
          <w:tcPr>
            <w:tcW w:w="1980" w:type="dxa"/>
            <w:tcBorders>
              <w:top w:val="single" w:sz="4" w:space="0" w:color="004A88"/>
              <w:bottom w:val="single" w:sz="4" w:space="0" w:color="004A88"/>
              <w:right w:val="single" w:sz="4" w:space="0" w:color="004A88"/>
            </w:tcBorders>
            <w:tcMar>
              <w:top w:w="90" w:type="dxa"/>
              <w:left w:w="90" w:type="dxa"/>
              <w:bottom w:w="90" w:type="dxa"/>
              <w:right w:w="90" w:type="dxa"/>
            </w:tcMar>
          </w:tcPr>
          <w:p w14:paraId="25F6BE7B" w14:textId="77777777" w:rsidR="00D172C2" w:rsidRPr="00D53F69" w:rsidRDefault="00D172C2" w:rsidP="00D172C2">
            <w:pPr>
              <w:spacing w:after="90" w:line="220" w:lineRule="atLeast"/>
              <w:rPr>
                <w:sz w:val="20"/>
                <w:szCs w:val="20"/>
              </w:rPr>
            </w:pPr>
            <w:r>
              <w:rPr>
                <w:sz w:val="20"/>
                <w:szCs w:val="20"/>
              </w:rPr>
              <w:t>2 - Managed</w:t>
            </w:r>
          </w:p>
        </w:tc>
        <w:tc>
          <w:tcPr>
            <w:tcW w:w="7470" w:type="dxa"/>
            <w:tcBorders>
              <w:top w:val="single" w:sz="4" w:space="0" w:color="004A88"/>
              <w:left w:val="single" w:sz="4" w:space="0" w:color="004A88"/>
              <w:bottom w:val="single" w:sz="4" w:space="0" w:color="004A88"/>
              <w:right w:val="single" w:sz="4" w:space="0" w:color="004A88"/>
            </w:tcBorders>
            <w:tcMar>
              <w:top w:w="90" w:type="dxa"/>
              <w:left w:w="90" w:type="dxa"/>
              <w:bottom w:w="90" w:type="dxa"/>
              <w:right w:w="90" w:type="dxa"/>
            </w:tcMar>
          </w:tcPr>
          <w:p w14:paraId="05F62DDC" w14:textId="77777777" w:rsidR="00D172C2" w:rsidRPr="00D53F69" w:rsidRDefault="00D172C2" w:rsidP="00D172C2">
            <w:pPr>
              <w:spacing w:after="90" w:line="220" w:lineRule="atLeast"/>
              <w:rPr>
                <w:sz w:val="20"/>
                <w:szCs w:val="20"/>
              </w:rPr>
            </w:pPr>
            <w:r w:rsidRPr="00D53F69">
              <w:rPr>
                <w:sz w:val="20"/>
                <w:szCs w:val="20"/>
              </w:rPr>
              <w:t xml:space="preserve">Some organized efforts </w:t>
            </w:r>
            <w:r>
              <w:rPr>
                <w:sz w:val="20"/>
                <w:szCs w:val="20"/>
              </w:rPr>
              <w:t xml:space="preserve">have </w:t>
            </w:r>
            <w:r w:rsidRPr="00D53F69">
              <w:rPr>
                <w:sz w:val="20"/>
                <w:szCs w:val="20"/>
              </w:rPr>
              <w:t>begun or</w:t>
            </w:r>
            <w:r>
              <w:rPr>
                <w:sz w:val="20"/>
                <w:szCs w:val="20"/>
              </w:rPr>
              <w:t xml:space="preserve"> been</w:t>
            </w:r>
            <w:r w:rsidRPr="00D53F69">
              <w:rPr>
                <w:sz w:val="20"/>
                <w:szCs w:val="20"/>
              </w:rPr>
              <w:t xml:space="preserve"> completed, but</w:t>
            </w:r>
            <w:r>
              <w:rPr>
                <w:sz w:val="20"/>
                <w:szCs w:val="20"/>
              </w:rPr>
              <w:t xml:space="preserve"> are</w:t>
            </w:r>
            <w:r w:rsidRPr="00D53F69">
              <w:rPr>
                <w:sz w:val="20"/>
                <w:szCs w:val="20"/>
              </w:rPr>
              <w:t xml:space="preserve"> not systematically documented or institutionalized.</w:t>
            </w:r>
          </w:p>
        </w:tc>
      </w:tr>
      <w:tr w:rsidR="00D172C2" w:rsidRPr="00D53F69" w14:paraId="71D38736" w14:textId="77777777" w:rsidTr="00D172C2">
        <w:trPr>
          <w:trHeight w:val="90"/>
        </w:trPr>
        <w:tc>
          <w:tcPr>
            <w:tcW w:w="1980" w:type="dxa"/>
            <w:tcBorders>
              <w:top w:val="single" w:sz="4" w:space="0" w:color="004A88"/>
              <w:bottom w:val="single" w:sz="4" w:space="0" w:color="004A88"/>
              <w:right w:val="single" w:sz="4" w:space="0" w:color="004A88"/>
            </w:tcBorders>
            <w:shd w:val="clear" w:color="auto" w:fill="CDE2F5"/>
            <w:tcMar>
              <w:top w:w="90" w:type="dxa"/>
              <w:left w:w="90" w:type="dxa"/>
              <w:bottom w:w="90" w:type="dxa"/>
              <w:right w:w="90" w:type="dxa"/>
            </w:tcMar>
          </w:tcPr>
          <w:p w14:paraId="403EC9C2" w14:textId="77777777" w:rsidR="00D172C2" w:rsidRPr="00D53F69" w:rsidRDefault="00D172C2" w:rsidP="00D172C2">
            <w:pPr>
              <w:spacing w:after="90" w:line="220" w:lineRule="atLeast"/>
              <w:rPr>
                <w:sz w:val="20"/>
                <w:szCs w:val="20"/>
              </w:rPr>
            </w:pPr>
            <w:r>
              <w:rPr>
                <w:sz w:val="20"/>
                <w:szCs w:val="20"/>
              </w:rPr>
              <w:lastRenderedPageBreak/>
              <w:t xml:space="preserve">3 – Defined </w:t>
            </w:r>
          </w:p>
        </w:tc>
        <w:tc>
          <w:tcPr>
            <w:tcW w:w="7470" w:type="dxa"/>
            <w:tcBorders>
              <w:top w:val="single" w:sz="4" w:space="0" w:color="004A88"/>
              <w:left w:val="single" w:sz="4" w:space="0" w:color="004A88"/>
              <w:bottom w:val="single" w:sz="4" w:space="0" w:color="004A88"/>
              <w:right w:val="single" w:sz="4" w:space="0" w:color="004A88"/>
            </w:tcBorders>
            <w:shd w:val="clear" w:color="auto" w:fill="CDE2F5"/>
            <w:tcMar>
              <w:top w:w="90" w:type="dxa"/>
              <w:left w:w="90" w:type="dxa"/>
              <w:bottom w:w="90" w:type="dxa"/>
              <w:right w:w="90" w:type="dxa"/>
            </w:tcMar>
          </w:tcPr>
          <w:p w14:paraId="43CEDBD0" w14:textId="77777777" w:rsidR="00D172C2" w:rsidRPr="00D53F69" w:rsidRDefault="00D172C2" w:rsidP="00D172C2">
            <w:pPr>
              <w:spacing w:after="90" w:line="220" w:lineRule="atLeast"/>
              <w:rPr>
                <w:sz w:val="20"/>
                <w:szCs w:val="20"/>
              </w:rPr>
            </w:pPr>
            <w:r w:rsidRPr="00D53F69">
              <w:rPr>
                <w:sz w:val="20"/>
                <w:szCs w:val="20"/>
              </w:rPr>
              <w:t xml:space="preserve">Systematic, ongoing efforts </w:t>
            </w:r>
            <w:r>
              <w:rPr>
                <w:sz w:val="20"/>
                <w:szCs w:val="20"/>
              </w:rPr>
              <w:t xml:space="preserve">are </w:t>
            </w:r>
            <w:r w:rsidRPr="00D53F69">
              <w:rPr>
                <w:sz w:val="20"/>
                <w:szCs w:val="20"/>
              </w:rPr>
              <w:t xml:space="preserve">underway, but </w:t>
            </w:r>
            <w:r>
              <w:rPr>
                <w:sz w:val="20"/>
                <w:szCs w:val="20"/>
              </w:rPr>
              <w:t xml:space="preserve">there are </w:t>
            </w:r>
            <w:r w:rsidRPr="00D53F69">
              <w:rPr>
                <w:sz w:val="20"/>
                <w:szCs w:val="20"/>
              </w:rPr>
              <w:t>no overall method to measure progress or to ensure coordination.</w:t>
            </w:r>
          </w:p>
        </w:tc>
      </w:tr>
      <w:tr w:rsidR="00D172C2" w:rsidRPr="00D53F69" w14:paraId="3BB335AB" w14:textId="77777777" w:rsidTr="00D172C2">
        <w:trPr>
          <w:trHeight w:val="90"/>
        </w:trPr>
        <w:tc>
          <w:tcPr>
            <w:tcW w:w="1980" w:type="dxa"/>
            <w:tcBorders>
              <w:top w:val="single" w:sz="4" w:space="0" w:color="004A88"/>
              <w:bottom w:val="single" w:sz="4" w:space="0" w:color="004A88"/>
              <w:right w:val="single" w:sz="4" w:space="0" w:color="004A88"/>
            </w:tcBorders>
            <w:tcMar>
              <w:top w:w="90" w:type="dxa"/>
              <w:left w:w="90" w:type="dxa"/>
              <w:bottom w:w="90" w:type="dxa"/>
              <w:right w:w="90" w:type="dxa"/>
            </w:tcMar>
          </w:tcPr>
          <w:p w14:paraId="5AF71BDA" w14:textId="77777777" w:rsidR="00D172C2" w:rsidRPr="00D53F69" w:rsidRDefault="00D172C2" w:rsidP="00D172C2">
            <w:pPr>
              <w:spacing w:after="90" w:line="220" w:lineRule="atLeast"/>
              <w:rPr>
                <w:sz w:val="20"/>
                <w:szCs w:val="20"/>
              </w:rPr>
            </w:pPr>
            <w:r>
              <w:rPr>
                <w:sz w:val="20"/>
                <w:szCs w:val="20"/>
              </w:rPr>
              <w:t>4 - Measured</w:t>
            </w:r>
          </w:p>
        </w:tc>
        <w:tc>
          <w:tcPr>
            <w:tcW w:w="7470" w:type="dxa"/>
            <w:tcBorders>
              <w:top w:val="single" w:sz="4" w:space="0" w:color="004A88"/>
              <w:left w:val="single" w:sz="4" w:space="0" w:color="004A88"/>
              <w:bottom w:val="single" w:sz="4" w:space="0" w:color="004A88"/>
              <w:right w:val="single" w:sz="4" w:space="0" w:color="004A88"/>
            </w:tcBorders>
            <w:tcMar>
              <w:top w:w="90" w:type="dxa"/>
              <w:left w:w="90" w:type="dxa"/>
              <w:bottom w:w="90" w:type="dxa"/>
              <w:right w:w="90" w:type="dxa"/>
            </w:tcMar>
          </w:tcPr>
          <w:p w14:paraId="54F45023" w14:textId="77777777" w:rsidR="00D172C2" w:rsidRPr="00D53F69" w:rsidRDefault="00D172C2" w:rsidP="00D172C2">
            <w:pPr>
              <w:spacing w:after="90" w:line="220" w:lineRule="atLeast"/>
              <w:rPr>
                <w:sz w:val="20"/>
                <w:szCs w:val="20"/>
              </w:rPr>
            </w:pPr>
            <w:r w:rsidRPr="00D53F69">
              <w:rPr>
                <w:sz w:val="20"/>
                <w:szCs w:val="20"/>
              </w:rPr>
              <w:t xml:space="preserve">Systematic, ongoing efforts </w:t>
            </w:r>
            <w:r>
              <w:rPr>
                <w:sz w:val="20"/>
                <w:szCs w:val="20"/>
              </w:rPr>
              <w:t xml:space="preserve">are </w:t>
            </w:r>
            <w:r w:rsidRPr="00D53F69">
              <w:rPr>
                <w:sz w:val="20"/>
                <w:szCs w:val="20"/>
              </w:rPr>
              <w:t>underway to measure progress and ensure coordination.</w:t>
            </w:r>
          </w:p>
        </w:tc>
      </w:tr>
      <w:tr w:rsidR="00D172C2" w:rsidRPr="00D53F69" w14:paraId="4E90C9DB" w14:textId="77777777" w:rsidTr="00D172C2">
        <w:trPr>
          <w:trHeight w:val="90"/>
        </w:trPr>
        <w:tc>
          <w:tcPr>
            <w:tcW w:w="1980" w:type="dxa"/>
            <w:tcBorders>
              <w:top w:val="single" w:sz="4" w:space="0" w:color="004A88"/>
              <w:bottom w:val="single" w:sz="12" w:space="0" w:color="004A88"/>
              <w:right w:val="single" w:sz="4" w:space="0" w:color="004A88"/>
            </w:tcBorders>
            <w:shd w:val="clear" w:color="auto" w:fill="CDE2F5"/>
            <w:tcMar>
              <w:top w:w="90" w:type="dxa"/>
              <w:left w:w="90" w:type="dxa"/>
              <w:bottom w:w="90" w:type="dxa"/>
              <w:right w:w="90" w:type="dxa"/>
            </w:tcMar>
          </w:tcPr>
          <w:p w14:paraId="651EAAA0" w14:textId="77777777" w:rsidR="00D172C2" w:rsidRPr="00D53F69" w:rsidRDefault="00D172C2" w:rsidP="00D172C2">
            <w:pPr>
              <w:spacing w:after="90" w:line="220" w:lineRule="atLeast"/>
              <w:rPr>
                <w:sz w:val="20"/>
                <w:szCs w:val="20"/>
              </w:rPr>
            </w:pPr>
            <w:r>
              <w:rPr>
                <w:sz w:val="20"/>
                <w:szCs w:val="20"/>
              </w:rPr>
              <w:t>5 - Optimized</w:t>
            </w:r>
          </w:p>
        </w:tc>
        <w:tc>
          <w:tcPr>
            <w:tcW w:w="7470" w:type="dxa"/>
            <w:tcBorders>
              <w:top w:val="single" w:sz="4" w:space="0" w:color="004A88"/>
              <w:left w:val="single" w:sz="4" w:space="0" w:color="004A88"/>
              <w:bottom w:val="single" w:sz="12" w:space="0" w:color="004A88"/>
              <w:right w:val="single" w:sz="4" w:space="0" w:color="004A88"/>
            </w:tcBorders>
            <w:shd w:val="clear" w:color="auto" w:fill="CDE2F5"/>
            <w:tcMar>
              <w:top w:w="90" w:type="dxa"/>
              <w:left w:w="90" w:type="dxa"/>
              <w:bottom w:w="90" w:type="dxa"/>
              <w:right w:w="90" w:type="dxa"/>
            </w:tcMar>
          </w:tcPr>
          <w:p w14:paraId="64849D3B" w14:textId="77777777" w:rsidR="00D172C2" w:rsidRPr="00D53F69" w:rsidRDefault="00D172C2" w:rsidP="00D172C2">
            <w:pPr>
              <w:spacing w:after="90" w:line="220" w:lineRule="atLeast"/>
              <w:rPr>
                <w:sz w:val="20"/>
                <w:szCs w:val="20"/>
              </w:rPr>
            </w:pPr>
            <w:r w:rsidRPr="00D53F69">
              <w:rPr>
                <w:sz w:val="20"/>
                <w:szCs w:val="20"/>
              </w:rPr>
              <w:t xml:space="preserve">Systematic, ongoing efforts </w:t>
            </w:r>
            <w:r>
              <w:rPr>
                <w:sz w:val="20"/>
                <w:szCs w:val="20"/>
              </w:rPr>
              <w:t xml:space="preserve">are </w:t>
            </w:r>
            <w:r w:rsidRPr="00D53F69">
              <w:rPr>
                <w:sz w:val="20"/>
                <w:szCs w:val="20"/>
              </w:rPr>
              <w:t>underway with quality improvement activities to align results with guiding vision, strategies and performance metrics.</w:t>
            </w:r>
          </w:p>
        </w:tc>
      </w:tr>
    </w:tbl>
    <w:p w14:paraId="1B8F2927" w14:textId="73195E2C" w:rsidR="00D172C2" w:rsidRDefault="00D172C2" w:rsidP="00D172C2">
      <w:r>
        <w:t xml:space="preserve">The toolkit also contains a similar self-assessment instrument focused specifically on capabilities needed for achieving meaningful interoperability. </w:t>
      </w:r>
    </w:p>
    <w:p w14:paraId="3A4B7841" w14:textId="5731C4E2" w:rsidR="00873800" w:rsidRDefault="00D172C2" w:rsidP="00D172C2">
      <w:r>
        <w:t>The culminating resource in the toolkit is guidance on developing a strategic informatics roadmap. The guidance and practical considerations provided in that resource can support your efforts to establish a clear vision of where you want to go and, based on your current capabilities as identified through the self-assessment process, map how you can incrementally build the capacity and capabilities you need to achieve your vision.</w:t>
      </w:r>
    </w:p>
    <w:p w14:paraId="2B5B021F" w14:textId="33C0B9BE" w:rsidR="000119F1" w:rsidRDefault="000119F1" w:rsidP="00D172C2"/>
    <w:p w14:paraId="03A28EC3" w14:textId="497991C5" w:rsidR="000119F1" w:rsidRDefault="000119F1" w:rsidP="00D172C2"/>
    <w:p w14:paraId="57DA0F8D" w14:textId="1279AC30" w:rsidR="000119F1" w:rsidRDefault="000119F1" w:rsidP="000119F1">
      <w:pPr>
        <w:pStyle w:val="Heading3"/>
      </w:pPr>
      <w:bookmarkStart w:id="7" w:name="_Toc1737521"/>
      <w:r>
        <w:t>Table 2. Using the informatics-savvy health department self-assessment tool</w:t>
      </w:r>
      <w:bookmarkEnd w:id="7"/>
    </w:p>
    <w:tbl>
      <w:tblPr>
        <w:tblW w:w="0" w:type="auto"/>
        <w:tblInd w:w="-8" w:type="dxa"/>
        <w:tblLayout w:type="fixed"/>
        <w:tblCellMar>
          <w:left w:w="0" w:type="dxa"/>
          <w:right w:w="0" w:type="dxa"/>
        </w:tblCellMar>
        <w:tblLook w:val="0000" w:firstRow="0" w:lastRow="0" w:firstColumn="0" w:lastColumn="0" w:noHBand="0" w:noVBand="0"/>
      </w:tblPr>
      <w:tblGrid>
        <w:gridCol w:w="1980"/>
        <w:gridCol w:w="7380"/>
      </w:tblGrid>
      <w:tr w:rsidR="00533C88" w:rsidRPr="007F0E18" w14:paraId="2AD301DF" w14:textId="77777777" w:rsidTr="00F51319">
        <w:trPr>
          <w:trHeight w:val="90"/>
        </w:trPr>
        <w:tc>
          <w:tcPr>
            <w:tcW w:w="1980" w:type="dxa"/>
            <w:tcBorders>
              <w:top w:val="single" w:sz="12" w:space="0" w:color="004987"/>
              <w:bottom w:val="single" w:sz="4" w:space="0" w:color="FFFFFF" w:themeColor="background1"/>
            </w:tcBorders>
            <w:shd w:val="clear" w:color="auto" w:fill="5C8CB6"/>
            <w:tcMar>
              <w:top w:w="90" w:type="dxa"/>
              <w:left w:w="90" w:type="dxa"/>
              <w:bottom w:w="90" w:type="dxa"/>
              <w:right w:w="90" w:type="dxa"/>
            </w:tcMar>
          </w:tcPr>
          <w:p w14:paraId="1ECD3705" w14:textId="68272184" w:rsidR="00533C88" w:rsidRPr="007F0E18" w:rsidRDefault="004265CB" w:rsidP="00F51319">
            <w:pPr>
              <w:pStyle w:val="TableHeadLeftTablesandCharts"/>
            </w:pPr>
            <w:r>
              <w:t>Purpose of the informatics-savvy health department self-as</w:t>
            </w:r>
            <w:r w:rsidRPr="004265CB">
              <w:t>sessment</w:t>
            </w:r>
          </w:p>
        </w:tc>
        <w:tc>
          <w:tcPr>
            <w:tcW w:w="7380" w:type="dxa"/>
            <w:tcBorders>
              <w:top w:val="single" w:sz="12" w:space="0" w:color="004A88"/>
              <w:bottom w:val="single" w:sz="4" w:space="0" w:color="004A88"/>
            </w:tcBorders>
            <w:tcMar>
              <w:top w:w="90" w:type="dxa"/>
              <w:left w:w="90" w:type="dxa"/>
              <w:bottom w:w="90" w:type="dxa"/>
              <w:right w:w="90" w:type="dxa"/>
            </w:tcMar>
          </w:tcPr>
          <w:p w14:paraId="0BC6FD24" w14:textId="77777777" w:rsidR="000119F1" w:rsidRPr="002369AA" w:rsidRDefault="000119F1" w:rsidP="000119F1">
            <w:pPr>
              <w:pStyle w:val="BodyText"/>
              <w:spacing w:before="100" w:after="0"/>
              <w:rPr>
                <w:rFonts w:asciiTheme="minorHAnsi" w:hAnsiTheme="minorHAnsi" w:cstheme="majorHAnsi"/>
                <w:color w:val="auto"/>
                <w:sz w:val="20"/>
                <w:szCs w:val="20"/>
              </w:rPr>
            </w:pPr>
            <w:r w:rsidRPr="002369AA">
              <w:rPr>
                <w:rFonts w:asciiTheme="minorHAnsi" w:hAnsiTheme="minorHAnsi" w:cstheme="majorHAnsi"/>
                <w:color w:val="auto"/>
                <w:sz w:val="20"/>
                <w:szCs w:val="20"/>
              </w:rPr>
              <w:t>The self-assessment has been carefully designed to:</w:t>
            </w:r>
          </w:p>
          <w:p w14:paraId="7DC3C4D7" w14:textId="77777777" w:rsidR="002369AA" w:rsidRPr="002369AA" w:rsidRDefault="000119F1" w:rsidP="000119F1">
            <w:pPr>
              <w:pStyle w:val="BodyText"/>
              <w:numPr>
                <w:ilvl w:val="0"/>
                <w:numId w:val="12"/>
              </w:numPr>
              <w:spacing w:before="100" w:after="0"/>
              <w:ind w:left="432"/>
              <w:rPr>
                <w:rFonts w:asciiTheme="minorHAnsi" w:hAnsiTheme="minorHAnsi" w:cstheme="majorHAnsi"/>
                <w:color w:val="auto"/>
                <w:sz w:val="20"/>
                <w:szCs w:val="20"/>
              </w:rPr>
            </w:pPr>
            <w:r w:rsidRPr="002369AA">
              <w:rPr>
                <w:rFonts w:asciiTheme="minorHAnsi" w:hAnsiTheme="minorHAnsi" w:cstheme="majorHAnsi"/>
                <w:color w:val="auto"/>
                <w:sz w:val="20"/>
                <w:szCs w:val="20"/>
              </w:rPr>
              <w:t>Determine strengths and deficiencies in a health department’s information capabilities.</w:t>
            </w:r>
          </w:p>
          <w:p w14:paraId="41C48299" w14:textId="6B06C516" w:rsidR="00533C88" w:rsidRPr="002369AA" w:rsidRDefault="000119F1" w:rsidP="000119F1">
            <w:pPr>
              <w:pStyle w:val="BodyText"/>
              <w:numPr>
                <w:ilvl w:val="0"/>
                <w:numId w:val="12"/>
              </w:numPr>
              <w:spacing w:before="100" w:after="0"/>
              <w:ind w:left="432"/>
              <w:rPr>
                <w:rFonts w:asciiTheme="majorHAnsi" w:hAnsiTheme="majorHAnsi" w:cstheme="majorHAnsi"/>
                <w:color w:val="auto"/>
              </w:rPr>
            </w:pPr>
            <w:r w:rsidRPr="002369AA">
              <w:rPr>
                <w:rFonts w:asciiTheme="minorHAnsi" w:hAnsiTheme="minorHAnsi" w:cstheme="majorHAnsi"/>
                <w:color w:val="auto"/>
                <w:sz w:val="20"/>
                <w:szCs w:val="20"/>
              </w:rPr>
              <w:t>Provide a baseline of information from which to prioritize and plan, and from which to measure progress over time.</w:t>
            </w:r>
          </w:p>
        </w:tc>
      </w:tr>
      <w:tr w:rsidR="00533C88" w:rsidRPr="007F0E18" w14:paraId="55368400" w14:textId="77777777" w:rsidTr="00F51319">
        <w:trPr>
          <w:trHeight w:val="90"/>
        </w:trPr>
        <w:tc>
          <w:tcPr>
            <w:tcW w:w="1980" w:type="dxa"/>
            <w:tcBorders>
              <w:top w:val="single" w:sz="4" w:space="0" w:color="FFFFFF" w:themeColor="background1"/>
              <w:bottom w:val="single" w:sz="4" w:space="0" w:color="FFFFFF" w:themeColor="background1"/>
            </w:tcBorders>
            <w:shd w:val="clear" w:color="auto" w:fill="5C8CB6"/>
            <w:tcMar>
              <w:top w:w="90" w:type="dxa"/>
              <w:left w:w="90" w:type="dxa"/>
              <w:bottom w:w="90" w:type="dxa"/>
              <w:right w:w="90" w:type="dxa"/>
            </w:tcMar>
          </w:tcPr>
          <w:p w14:paraId="7BFB9D20" w14:textId="6CB19A8C" w:rsidR="00533C88" w:rsidRPr="007F0E18" w:rsidRDefault="004265CB" w:rsidP="00F51319">
            <w:pPr>
              <w:pStyle w:val="TableHeadLeftTablesandCharts"/>
            </w:pPr>
            <w:r w:rsidRPr="004265CB">
              <w:t>Benefits of conducting an informatics self-assessment</w:t>
            </w:r>
          </w:p>
        </w:tc>
        <w:tc>
          <w:tcPr>
            <w:tcW w:w="7380" w:type="dxa"/>
            <w:tcBorders>
              <w:top w:val="single" w:sz="4" w:space="0" w:color="004A88"/>
              <w:bottom w:val="single" w:sz="4" w:space="0" w:color="004A88"/>
            </w:tcBorders>
            <w:shd w:val="clear" w:color="auto" w:fill="CDE2F5"/>
            <w:tcMar>
              <w:top w:w="90" w:type="dxa"/>
              <w:left w:w="90" w:type="dxa"/>
              <w:bottom w:w="90" w:type="dxa"/>
              <w:right w:w="90" w:type="dxa"/>
            </w:tcMar>
          </w:tcPr>
          <w:p w14:paraId="5EFB3F77" w14:textId="77777777" w:rsidR="002369AA" w:rsidRPr="002369AA" w:rsidRDefault="002369AA" w:rsidP="002369AA">
            <w:pPr>
              <w:pStyle w:val="BodyText"/>
              <w:spacing w:after="0"/>
              <w:rPr>
                <w:rFonts w:asciiTheme="minorHAnsi" w:hAnsiTheme="minorHAnsi" w:cstheme="majorHAnsi"/>
                <w:color w:val="auto"/>
                <w:sz w:val="20"/>
                <w:szCs w:val="20"/>
              </w:rPr>
            </w:pPr>
            <w:r w:rsidRPr="002369AA">
              <w:rPr>
                <w:rFonts w:asciiTheme="minorHAnsi" w:hAnsiTheme="minorHAnsi" w:cstheme="majorHAnsi"/>
                <w:color w:val="auto"/>
                <w:sz w:val="20"/>
                <w:szCs w:val="20"/>
              </w:rPr>
              <w:t>Conducting a self-assessment has several key benefits:</w:t>
            </w:r>
          </w:p>
          <w:p w14:paraId="67BE9F7B" w14:textId="77777777" w:rsidR="002369AA" w:rsidRPr="002369AA" w:rsidRDefault="002369AA" w:rsidP="002369AA">
            <w:pPr>
              <w:pStyle w:val="BodyText"/>
              <w:numPr>
                <w:ilvl w:val="0"/>
                <w:numId w:val="13"/>
              </w:numPr>
              <w:spacing w:before="100" w:after="0"/>
              <w:ind w:left="432"/>
              <w:rPr>
                <w:rFonts w:asciiTheme="minorHAnsi" w:hAnsiTheme="minorHAnsi" w:cstheme="majorHAnsi"/>
                <w:color w:val="auto"/>
                <w:sz w:val="20"/>
                <w:szCs w:val="20"/>
              </w:rPr>
            </w:pPr>
            <w:r w:rsidRPr="002369AA">
              <w:rPr>
                <w:rFonts w:asciiTheme="minorHAnsi" w:hAnsiTheme="minorHAnsi" w:cstheme="majorHAnsi"/>
                <w:color w:val="auto"/>
                <w:sz w:val="20"/>
                <w:szCs w:val="20"/>
              </w:rPr>
              <w:t>Provides a systematic, comprehensive, likely first-ever review across an entire health department (or organizational unit within one) of its information capabilities, and its capacity to meet the increasing demands for receiving, sending, managing, protecting and using digital data.</w:t>
            </w:r>
          </w:p>
          <w:p w14:paraId="187D3BF5" w14:textId="77777777" w:rsidR="009E4717" w:rsidRDefault="002369AA" w:rsidP="002369AA">
            <w:pPr>
              <w:pStyle w:val="BodyText"/>
              <w:numPr>
                <w:ilvl w:val="0"/>
                <w:numId w:val="13"/>
              </w:numPr>
              <w:spacing w:before="100" w:after="0"/>
              <w:ind w:left="432"/>
              <w:rPr>
                <w:rFonts w:asciiTheme="minorHAnsi" w:hAnsiTheme="minorHAnsi" w:cstheme="majorHAnsi"/>
                <w:color w:val="auto"/>
                <w:sz w:val="20"/>
                <w:szCs w:val="20"/>
              </w:rPr>
            </w:pPr>
            <w:r w:rsidRPr="002369AA">
              <w:rPr>
                <w:rFonts w:asciiTheme="minorHAnsi" w:hAnsiTheme="minorHAnsi" w:cstheme="majorHAnsi"/>
                <w:color w:val="auto"/>
                <w:sz w:val="20"/>
                <w:szCs w:val="20"/>
              </w:rPr>
              <w:t>Enables programs across a health department to realize where they have common challenges that might be more effectively addressed collectively.</w:t>
            </w:r>
          </w:p>
          <w:p w14:paraId="7EC7E203" w14:textId="5C252805" w:rsidR="00533C88" w:rsidRPr="009E4717" w:rsidRDefault="002369AA" w:rsidP="002369AA">
            <w:pPr>
              <w:pStyle w:val="BodyText"/>
              <w:numPr>
                <w:ilvl w:val="0"/>
                <w:numId w:val="13"/>
              </w:numPr>
              <w:spacing w:before="100" w:after="0"/>
              <w:ind w:left="432"/>
              <w:rPr>
                <w:rFonts w:asciiTheme="minorHAnsi" w:hAnsiTheme="minorHAnsi" w:cstheme="majorHAnsi"/>
                <w:color w:val="auto"/>
                <w:sz w:val="20"/>
                <w:szCs w:val="20"/>
              </w:rPr>
            </w:pPr>
            <w:r w:rsidRPr="009E4717">
              <w:rPr>
                <w:rFonts w:asciiTheme="minorHAnsi" w:hAnsiTheme="minorHAnsi" w:cstheme="majorHAnsi"/>
                <w:color w:val="auto"/>
                <w:sz w:val="20"/>
                <w:szCs w:val="20"/>
              </w:rPr>
              <w:t>Enables leadership to more readily see where efforts might yield the greatest results</w:t>
            </w:r>
            <w:r w:rsidRPr="009E4717">
              <w:rPr>
                <w:rFonts w:asciiTheme="majorHAnsi" w:hAnsiTheme="majorHAnsi" w:cstheme="majorHAnsi"/>
                <w:color w:val="auto"/>
              </w:rPr>
              <w:t>.</w:t>
            </w:r>
          </w:p>
        </w:tc>
      </w:tr>
      <w:tr w:rsidR="00533C88" w:rsidRPr="007F0E18" w14:paraId="3F24E1B0" w14:textId="77777777" w:rsidTr="00F51319">
        <w:trPr>
          <w:trHeight w:val="90"/>
        </w:trPr>
        <w:tc>
          <w:tcPr>
            <w:tcW w:w="1980" w:type="dxa"/>
            <w:tcBorders>
              <w:top w:val="single" w:sz="4" w:space="0" w:color="FFFFFF" w:themeColor="background1"/>
              <w:bottom w:val="single" w:sz="12" w:space="0" w:color="004987"/>
            </w:tcBorders>
            <w:shd w:val="clear" w:color="auto" w:fill="5C8CB6"/>
            <w:tcMar>
              <w:top w:w="90" w:type="dxa"/>
              <w:left w:w="90" w:type="dxa"/>
              <w:bottom w:w="90" w:type="dxa"/>
              <w:right w:w="90" w:type="dxa"/>
            </w:tcMar>
          </w:tcPr>
          <w:p w14:paraId="5E2BCA6C" w14:textId="09655168" w:rsidR="00533C88" w:rsidRPr="007F0E18" w:rsidRDefault="004265CB" w:rsidP="00F51319">
            <w:pPr>
              <w:pStyle w:val="TableHeadLeftTablesandCharts"/>
            </w:pPr>
            <w:r w:rsidRPr="004265CB">
              <w:t>How to use this companion guide</w:t>
            </w:r>
          </w:p>
        </w:tc>
        <w:tc>
          <w:tcPr>
            <w:tcW w:w="7380" w:type="dxa"/>
            <w:tcBorders>
              <w:top w:val="single" w:sz="4" w:space="0" w:color="004A88"/>
              <w:bottom w:val="single" w:sz="12" w:space="0" w:color="004987"/>
            </w:tcBorders>
            <w:shd w:val="solid" w:color="FFFFFF" w:fill="auto"/>
            <w:tcMar>
              <w:top w:w="90" w:type="dxa"/>
              <w:left w:w="90" w:type="dxa"/>
              <w:bottom w:w="90" w:type="dxa"/>
              <w:right w:w="90" w:type="dxa"/>
            </w:tcMar>
          </w:tcPr>
          <w:p w14:paraId="2ABD0B2E" w14:textId="77777777" w:rsidR="002369AA" w:rsidRPr="002369AA" w:rsidRDefault="002369AA" w:rsidP="002369AA">
            <w:pPr>
              <w:pStyle w:val="BodyText"/>
              <w:spacing w:after="0"/>
              <w:rPr>
                <w:rFonts w:asciiTheme="minorHAnsi" w:hAnsiTheme="minorHAnsi" w:cstheme="majorHAnsi"/>
                <w:color w:val="auto"/>
                <w:sz w:val="20"/>
                <w:szCs w:val="20"/>
              </w:rPr>
            </w:pPr>
            <w:r w:rsidRPr="002369AA">
              <w:rPr>
                <w:rFonts w:asciiTheme="minorHAnsi" w:hAnsiTheme="minorHAnsi" w:cstheme="majorHAnsi"/>
                <w:color w:val="auto"/>
                <w:sz w:val="20"/>
                <w:szCs w:val="20"/>
              </w:rPr>
              <w:t>The companion guide provides key information on:</w:t>
            </w:r>
          </w:p>
          <w:p w14:paraId="3162B9A8" w14:textId="42F32894" w:rsidR="002369AA" w:rsidRPr="002369AA" w:rsidRDefault="002369AA" w:rsidP="002369AA">
            <w:pPr>
              <w:pStyle w:val="BodyText"/>
              <w:numPr>
                <w:ilvl w:val="0"/>
                <w:numId w:val="14"/>
              </w:numPr>
              <w:spacing w:before="100" w:after="0"/>
              <w:ind w:left="432"/>
              <w:rPr>
                <w:rFonts w:asciiTheme="minorHAnsi" w:hAnsiTheme="minorHAnsi" w:cstheme="majorHAnsi"/>
                <w:color w:val="auto"/>
                <w:sz w:val="20"/>
                <w:szCs w:val="20"/>
              </w:rPr>
            </w:pPr>
            <w:r w:rsidRPr="002369AA">
              <w:rPr>
                <w:rFonts w:asciiTheme="minorHAnsi" w:hAnsiTheme="minorHAnsi" w:cstheme="majorHAnsi"/>
                <w:color w:val="auto"/>
                <w:sz w:val="20"/>
                <w:szCs w:val="20"/>
              </w:rPr>
              <w:t>The struct</w:t>
            </w:r>
            <w:r w:rsidR="002E231F">
              <w:rPr>
                <w:rFonts w:asciiTheme="minorHAnsi" w:hAnsiTheme="minorHAnsi" w:cstheme="majorHAnsi"/>
                <w:color w:val="auto"/>
                <w:sz w:val="20"/>
                <w:szCs w:val="20"/>
              </w:rPr>
              <w:t>ure and potential value of the informatics-savvy health department self-a</w:t>
            </w:r>
            <w:r w:rsidRPr="002369AA">
              <w:rPr>
                <w:rFonts w:asciiTheme="minorHAnsi" w:hAnsiTheme="minorHAnsi" w:cstheme="majorHAnsi"/>
                <w:color w:val="auto"/>
                <w:sz w:val="20"/>
                <w:szCs w:val="20"/>
              </w:rPr>
              <w:t>ssessment.</w:t>
            </w:r>
          </w:p>
          <w:p w14:paraId="7B2B3E47" w14:textId="77777777" w:rsidR="009E4717" w:rsidRDefault="002369AA" w:rsidP="002369AA">
            <w:pPr>
              <w:pStyle w:val="BodyText"/>
              <w:numPr>
                <w:ilvl w:val="0"/>
                <w:numId w:val="14"/>
              </w:numPr>
              <w:spacing w:before="100" w:after="0"/>
              <w:ind w:left="432"/>
              <w:rPr>
                <w:rFonts w:asciiTheme="minorHAnsi" w:hAnsiTheme="minorHAnsi" w:cstheme="majorHAnsi"/>
                <w:color w:val="auto"/>
                <w:sz w:val="20"/>
                <w:szCs w:val="20"/>
              </w:rPr>
            </w:pPr>
            <w:r w:rsidRPr="002369AA">
              <w:rPr>
                <w:rFonts w:asciiTheme="minorHAnsi" w:hAnsiTheme="minorHAnsi" w:cstheme="majorHAnsi"/>
                <w:color w:val="auto"/>
                <w:sz w:val="20"/>
                <w:szCs w:val="20"/>
              </w:rPr>
              <w:t>Guidance for planning a facilitated working session and administering the self-assessment.</w:t>
            </w:r>
          </w:p>
          <w:p w14:paraId="51016FA5" w14:textId="5264AC1A" w:rsidR="00533C88" w:rsidRPr="009E4717" w:rsidRDefault="002369AA" w:rsidP="002369AA">
            <w:pPr>
              <w:pStyle w:val="BodyText"/>
              <w:numPr>
                <w:ilvl w:val="0"/>
                <w:numId w:val="14"/>
              </w:numPr>
              <w:spacing w:before="100" w:after="0"/>
              <w:ind w:left="432"/>
              <w:rPr>
                <w:rFonts w:asciiTheme="minorHAnsi" w:hAnsiTheme="minorHAnsi" w:cstheme="majorHAnsi"/>
                <w:color w:val="auto"/>
                <w:sz w:val="20"/>
                <w:szCs w:val="20"/>
              </w:rPr>
            </w:pPr>
            <w:r w:rsidRPr="009E4717">
              <w:rPr>
                <w:rFonts w:asciiTheme="minorHAnsi" w:hAnsiTheme="minorHAnsi" w:cstheme="majorHAnsi"/>
                <w:color w:val="auto"/>
                <w:sz w:val="20"/>
                <w:szCs w:val="20"/>
              </w:rPr>
              <w:t>Guidelines and instructions to provide to participants.</w:t>
            </w:r>
          </w:p>
        </w:tc>
      </w:tr>
    </w:tbl>
    <w:p w14:paraId="1F9BB0AE" w14:textId="311D9298" w:rsidR="00873800" w:rsidRDefault="00873800" w:rsidP="00D172C2"/>
    <w:p w14:paraId="568DA2AA" w14:textId="6E69A0D2" w:rsidR="007D21A2" w:rsidRDefault="007D21A2">
      <w:pPr>
        <w:suppressAutoHyphens w:val="0"/>
        <w:autoSpaceDE/>
        <w:autoSpaceDN/>
        <w:adjustRightInd/>
        <w:spacing w:after="160" w:line="259" w:lineRule="auto"/>
        <w:textAlignment w:val="auto"/>
      </w:pPr>
      <w:r>
        <w:br w:type="page"/>
      </w:r>
    </w:p>
    <w:p w14:paraId="430129B7" w14:textId="447FEB05" w:rsidR="009A2A03" w:rsidRDefault="009A2A03" w:rsidP="009A2A03">
      <w:pPr>
        <w:pStyle w:val="Heading1"/>
      </w:pPr>
      <w:bookmarkStart w:id="8" w:name="_Toc1737522"/>
      <w:r>
        <w:lastRenderedPageBreak/>
        <w:t>Selecting meeting scope and format</w:t>
      </w:r>
      <w:bookmarkEnd w:id="8"/>
    </w:p>
    <w:p w14:paraId="1EAA3909" w14:textId="3F2F77EA" w:rsidR="009A2A03" w:rsidRDefault="009A2A03" w:rsidP="009A2A03">
      <w:pPr>
        <w:suppressAutoHyphens w:val="0"/>
        <w:autoSpaceDE/>
        <w:autoSpaceDN/>
        <w:adjustRightInd/>
        <w:spacing w:after="160" w:line="259" w:lineRule="auto"/>
        <w:textAlignment w:val="auto"/>
      </w:pPr>
      <w:r>
        <w:t>While format and focus for conducting the informatics-savvy self-assessment can vary, as discussed in the following pages,</w:t>
      </w:r>
      <w:r w:rsidR="00925566">
        <w:t xml:space="preserve"> the basic process and agenda are</w:t>
      </w:r>
      <w:r>
        <w:t xml:space="preserve"> likely the same:</w:t>
      </w:r>
    </w:p>
    <w:p w14:paraId="46031AA8" w14:textId="77777777" w:rsidR="009A2A03" w:rsidRDefault="009A2A03" w:rsidP="009A2A03">
      <w:pPr>
        <w:pStyle w:val="ListParagraph"/>
        <w:numPr>
          <w:ilvl w:val="0"/>
          <w:numId w:val="15"/>
        </w:numPr>
        <w:suppressAutoHyphens w:val="0"/>
        <w:autoSpaceDE/>
        <w:autoSpaceDN/>
        <w:adjustRightInd/>
        <w:spacing w:after="160" w:line="259" w:lineRule="auto"/>
        <w:textAlignment w:val="auto"/>
      </w:pPr>
      <w:r>
        <w:t>Opening remarks, preferably by the most senior person appropriate to the scope of the event, to set the context and to convey senior leadership support.</w:t>
      </w:r>
    </w:p>
    <w:p w14:paraId="21C21E04" w14:textId="30B29F7D" w:rsidR="009A2A03" w:rsidRDefault="009A2A03" w:rsidP="009A2A03">
      <w:pPr>
        <w:pStyle w:val="ListParagraph"/>
        <w:numPr>
          <w:ilvl w:val="0"/>
          <w:numId w:val="15"/>
        </w:numPr>
        <w:suppressAutoHyphens w:val="0"/>
        <w:autoSpaceDE/>
        <w:autoSpaceDN/>
        <w:adjustRightInd/>
        <w:spacing w:after="160" w:line="259" w:lineRule="auto"/>
        <w:textAlignment w:val="auto"/>
      </w:pPr>
      <w:r>
        <w:t xml:space="preserve">Review of objectives and process for the day. This would likely come from you as the facilitator. </w:t>
      </w:r>
      <w:r w:rsidR="005A2D4E">
        <w:t>(</w:t>
      </w:r>
      <w:r>
        <w:t xml:space="preserve">See </w:t>
      </w:r>
      <w:hyperlink r:id="rId28" w:history="1">
        <w:r w:rsidRPr="00C53174">
          <w:rPr>
            <w:rStyle w:val="Hyperlink"/>
          </w:rPr>
          <w:t>www.phii.org/infosavvy</w:t>
        </w:r>
      </w:hyperlink>
      <w:r>
        <w:t xml:space="preserve"> for a slide deck which you can adapt for this purpose.)</w:t>
      </w:r>
    </w:p>
    <w:p w14:paraId="05B57F63" w14:textId="77777777" w:rsidR="009A2A03" w:rsidRDefault="009A2A03" w:rsidP="009A2A03">
      <w:pPr>
        <w:pStyle w:val="ListParagraph"/>
        <w:numPr>
          <w:ilvl w:val="0"/>
          <w:numId w:val="15"/>
        </w:numPr>
        <w:suppressAutoHyphens w:val="0"/>
        <w:autoSpaceDE/>
        <w:autoSpaceDN/>
        <w:adjustRightInd/>
        <w:spacing w:after="160" w:line="259" w:lineRule="auto"/>
        <w:textAlignment w:val="auto"/>
      </w:pPr>
      <w:r>
        <w:t>Large or small group discussion and consensus scoring based on the self-assessment questions. This would ideally also include identifying ideas for action steps that would build informatics capacity and address current weaknesses. (Sample worksheets can be found in the appendices.)</w:t>
      </w:r>
    </w:p>
    <w:p w14:paraId="04E95033" w14:textId="77777777" w:rsidR="009A2A03" w:rsidRDefault="009A2A03" w:rsidP="009A2A03">
      <w:pPr>
        <w:pStyle w:val="ListParagraph"/>
        <w:numPr>
          <w:ilvl w:val="0"/>
          <w:numId w:val="15"/>
        </w:numPr>
        <w:suppressAutoHyphens w:val="0"/>
        <w:autoSpaceDE/>
        <w:autoSpaceDN/>
        <w:adjustRightInd/>
        <w:spacing w:after="160" w:line="259" w:lineRule="auto"/>
        <w:textAlignment w:val="auto"/>
      </w:pPr>
      <w:r>
        <w:t>(If small groups used) Reporting out of results and action steps to the full group.</w:t>
      </w:r>
    </w:p>
    <w:p w14:paraId="19F1091C" w14:textId="77777777" w:rsidR="00FF082C" w:rsidRDefault="009A2A03" w:rsidP="009A2A03">
      <w:pPr>
        <w:pStyle w:val="ListParagraph"/>
        <w:numPr>
          <w:ilvl w:val="0"/>
          <w:numId w:val="15"/>
        </w:numPr>
        <w:suppressAutoHyphens w:val="0"/>
        <w:autoSpaceDE/>
        <w:autoSpaceDN/>
        <w:adjustRightInd/>
        <w:spacing w:after="160" w:line="259" w:lineRule="auto"/>
        <w:textAlignment w:val="auto"/>
      </w:pPr>
      <w:r>
        <w:t xml:space="preserve">Full group discussion of the findings and action steps, looking for synergies and additional ideas; organizing actions into clusters, or other planning activities as appropriate. </w:t>
      </w:r>
    </w:p>
    <w:p w14:paraId="5478A60F" w14:textId="4DF3A939" w:rsidR="009A2A03" w:rsidRDefault="009A2A03" w:rsidP="009A2A03">
      <w:pPr>
        <w:pStyle w:val="ListParagraph"/>
        <w:numPr>
          <w:ilvl w:val="0"/>
          <w:numId w:val="15"/>
        </w:numPr>
        <w:suppressAutoHyphens w:val="0"/>
        <w:autoSpaceDE/>
        <w:autoSpaceDN/>
        <w:adjustRightInd/>
        <w:spacing w:after="160" w:line="259" w:lineRule="auto"/>
        <w:textAlignment w:val="auto"/>
      </w:pPr>
      <w:r>
        <w:t>Close and next steps.</w:t>
      </w:r>
    </w:p>
    <w:p w14:paraId="33877800" w14:textId="77777777" w:rsidR="009A2A03" w:rsidRDefault="009A2A03" w:rsidP="009A2A03">
      <w:pPr>
        <w:suppressAutoHyphens w:val="0"/>
        <w:autoSpaceDE/>
        <w:autoSpaceDN/>
        <w:adjustRightInd/>
        <w:spacing w:after="160" w:line="259" w:lineRule="auto"/>
        <w:textAlignment w:val="auto"/>
      </w:pPr>
      <w:r>
        <w:t xml:space="preserve">The self-assessment meeting can be thought of in terms of scope (agency-wide or focused on specific programs) and discussion group format (large group only or divided into small groups). As discussed later, the recommended length of time is a full day, ideally held off-site. </w:t>
      </w:r>
    </w:p>
    <w:p w14:paraId="6F1356B6" w14:textId="77777777" w:rsidR="009A2A03" w:rsidRDefault="009A2A03" w:rsidP="003F0302">
      <w:pPr>
        <w:pStyle w:val="Heading2"/>
      </w:pPr>
      <w:bookmarkStart w:id="9" w:name="_Toc1737523"/>
      <w:r>
        <w:t>Scope of the meeting</w:t>
      </w:r>
      <w:bookmarkEnd w:id="9"/>
    </w:p>
    <w:p w14:paraId="53F28598" w14:textId="77777777" w:rsidR="009A2A03" w:rsidRDefault="009A2A03" w:rsidP="009A2A03">
      <w:pPr>
        <w:suppressAutoHyphens w:val="0"/>
        <w:autoSpaceDE/>
        <w:autoSpaceDN/>
        <w:adjustRightInd/>
        <w:spacing w:after="160" w:line="259" w:lineRule="auto"/>
        <w:textAlignment w:val="auto"/>
      </w:pPr>
      <w:r>
        <w:t xml:space="preserve">Three possible ways to define the scope of the meeting are agency-wide, single program or multiple programs.  </w:t>
      </w:r>
    </w:p>
    <w:p w14:paraId="19FBED44" w14:textId="77777777" w:rsidR="009A2A03" w:rsidRDefault="009A2A03" w:rsidP="003F0302">
      <w:pPr>
        <w:pStyle w:val="Heading4"/>
        <w:ind w:left="360"/>
      </w:pPr>
      <w:r>
        <w:t>Agency-wide meeting</w:t>
      </w:r>
    </w:p>
    <w:p w14:paraId="70CA0365" w14:textId="77777777" w:rsidR="009A2A03" w:rsidRDefault="009A2A03" w:rsidP="003F0302">
      <w:pPr>
        <w:suppressAutoHyphens w:val="0"/>
        <w:autoSpaceDE/>
        <w:autoSpaceDN/>
        <w:adjustRightInd/>
        <w:spacing w:after="160" w:line="259" w:lineRule="auto"/>
        <w:ind w:left="360"/>
        <w:textAlignment w:val="auto"/>
      </w:pPr>
      <w:r>
        <w:t xml:space="preserve">This format may be optimal when you want to have participants from across the health department participate in and hear all of the discussion; in other words, when you are prioritizing cross-program sharing, problem solving and consensus building. Such a format can be excellent for engaging managers and staff across the agency or as a “kick-off” to a series of program-level assessments. </w:t>
      </w:r>
    </w:p>
    <w:p w14:paraId="10F134A7" w14:textId="77777777" w:rsidR="009A2A03" w:rsidRDefault="009A2A03" w:rsidP="003F0302">
      <w:pPr>
        <w:pStyle w:val="Heading4"/>
        <w:ind w:left="360"/>
      </w:pPr>
      <w:r>
        <w:t>Single program meeting</w:t>
      </w:r>
    </w:p>
    <w:p w14:paraId="107DA0FF" w14:textId="77777777" w:rsidR="009A2A03" w:rsidRDefault="009A2A03" w:rsidP="003F0302">
      <w:pPr>
        <w:suppressAutoHyphens w:val="0"/>
        <w:autoSpaceDE/>
        <w:autoSpaceDN/>
        <w:adjustRightInd/>
        <w:spacing w:after="160" w:line="259" w:lineRule="auto"/>
        <w:ind w:left="360"/>
        <w:textAlignment w:val="auto"/>
      </w:pPr>
      <w:r>
        <w:t xml:space="preserve">This approach would focus on one program area (e.g., infectious diseases or vital records/health statistics) where the goal is to build informatics capacity to meet particular challenges or to set priorities that are not necessarily agency-wide.  </w:t>
      </w:r>
    </w:p>
    <w:p w14:paraId="3E95FE33" w14:textId="77777777" w:rsidR="009A2A03" w:rsidRDefault="009A2A03" w:rsidP="003F0302">
      <w:pPr>
        <w:pStyle w:val="Heading4"/>
        <w:ind w:left="360"/>
      </w:pPr>
      <w:r>
        <w:t>Multiple programs meeting</w:t>
      </w:r>
    </w:p>
    <w:p w14:paraId="654B9D70" w14:textId="1B45C0C6" w:rsidR="009A2A03" w:rsidRDefault="009A2A03" w:rsidP="003F0302">
      <w:pPr>
        <w:suppressAutoHyphens w:val="0"/>
        <w:autoSpaceDE/>
        <w:autoSpaceDN/>
        <w:adjustRightInd/>
        <w:spacing w:after="160" w:line="259" w:lineRule="auto"/>
        <w:ind w:left="360"/>
        <w:textAlignment w:val="auto"/>
      </w:pPr>
      <w:r>
        <w:t>This format may work well for engaging multiple programs that either have common needs, are considering shared services, are currently exchanging data electronically with the same partners, or have common functions (such as all programs that are surveillance-based or conduct regulatory functions).</w:t>
      </w:r>
    </w:p>
    <w:p w14:paraId="0DEAC459" w14:textId="77777777" w:rsidR="003F0302" w:rsidRDefault="003F0302">
      <w:pPr>
        <w:suppressAutoHyphens w:val="0"/>
        <w:autoSpaceDE/>
        <w:autoSpaceDN/>
        <w:adjustRightInd/>
        <w:spacing w:after="160" w:line="259" w:lineRule="auto"/>
        <w:textAlignment w:val="auto"/>
        <w:rPr>
          <w:b/>
          <w:sz w:val="26"/>
          <w:szCs w:val="26"/>
        </w:rPr>
      </w:pPr>
      <w:r>
        <w:br w:type="page"/>
      </w:r>
    </w:p>
    <w:p w14:paraId="7D989010" w14:textId="038B3131" w:rsidR="003F0302" w:rsidRDefault="003F0302" w:rsidP="003F0302">
      <w:pPr>
        <w:pStyle w:val="Heading2"/>
      </w:pPr>
      <w:bookmarkStart w:id="10" w:name="_Toc1737524"/>
      <w:r>
        <w:lastRenderedPageBreak/>
        <w:t>Format of the meeting</w:t>
      </w:r>
      <w:bookmarkEnd w:id="10"/>
    </w:p>
    <w:p w14:paraId="60DBB7E3" w14:textId="3F39A901" w:rsidR="003F0302" w:rsidRDefault="003F0302" w:rsidP="003F0302">
      <w:r>
        <w:t>With the scope determined, consider next the optimal number of participants to include in the group discussion, balancing representativeness with t</w:t>
      </w:r>
      <w:r w:rsidR="00A029FF">
        <w:t>he realities of group dynamics.</w:t>
      </w:r>
      <w:r>
        <w:t xml:space="preserve"> The number of participants may dictate the optimal format for your meeting. For example, if a large number of participants (25 or more) will be participating, you may want to organize two or more small discussion groups to allow maximum discussion among participants.  </w:t>
      </w:r>
    </w:p>
    <w:p w14:paraId="476C10B8" w14:textId="0A7C7160" w:rsidR="00873800" w:rsidRDefault="003F0302" w:rsidP="003F0302">
      <w:r>
        <w:t>Depending on the size of the group and the availability of facilitators, three possible discussion group formats are:</w:t>
      </w:r>
    </w:p>
    <w:p w14:paraId="04010710" w14:textId="77777777" w:rsidR="003F0302" w:rsidRDefault="003F0302" w:rsidP="003F0302">
      <w:pPr>
        <w:pStyle w:val="Heading4"/>
        <w:ind w:left="360"/>
      </w:pPr>
      <w:r>
        <w:t>Large group format</w:t>
      </w:r>
    </w:p>
    <w:p w14:paraId="367898AD" w14:textId="77777777" w:rsidR="003F0302" w:rsidRDefault="003F0302" w:rsidP="003F0302">
      <w:pPr>
        <w:ind w:left="360"/>
      </w:pPr>
      <w:r>
        <w:t xml:space="preserve">Use this format if the advantages of everyone hearing everything at the same time outweigh any group dynamic considerations, such as a large group favoring the more outspoken participants at the expense of quieter individuals. In this format, the group works through each of three assessment sections and associated questions together, sharing their challenges and achievements, coming to consensus on the score, and ideally identifying 1-3 action steps that could help them move up the scale toward greater capacity. A large group format can require more time than the other two listed below, so may limit the amount of discussion and especially ideas for possible action steps. </w:t>
      </w:r>
    </w:p>
    <w:p w14:paraId="4B85F09A" w14:textId="77777777" w:rsidR="003F0302" w:rsidRDefault="003F0302" w:rsidP="003F0302">
      <w:pPr>
        <w:pStyle w:val="Heading4"/>
        <w:ind w:left="360"/>
      </w:pPr>
      <w:r>
        <w:t xml:space="preserve">Small group format  </w:t>
      </w:r>
    </w:p>
    <w:p w14:paraId="6C6C0FEC" w14:textId="33F8DA01" w:rsidR="003F0302" w:rsidRDefault="003F0302" w:rsidP="003F0302">
      <w:pPr>
        <w:ind w:left="360"/>
      </w:pPr>
      <w:r>
        <w:t xml:space="preserve">In the small group format, participants are divided into three separate groups once the opening remarks and instructions are over, one to each of the three elements of the informatics-savvy model. This format has the advantage of more candid and efficient discussion, and may provide more time for identifying action steps. For the small group to still be representative of the health department program, you will need no less than six </w:t>
      </w:r>
      <w:r w:rsidR="003D0027">
        <w:t>people (preferably closer to 10</w:t>
      </w:r>
      <w:r>
        <w:t>) and will want to pre-assign them to ensure a diversity of job descriptions, perspectives, length of service, etc.</w:t>
      </w:r>
      <w:r w:rsidR="003D0027">
        <w:t>,</w:t>
      </w:r>
      <w:r>
        <w:t xml:space="preserve"> within each of the three groups</w:t>
      </w:r>
    </w:p>
    <w:p w14:paraId="08ABB19F" w14:textId="77777777" w:rsidR="003F0302" w:rsidRDefault="003F0302" w:rsidP="003F0302">
      <w:pPr>
        <w:pStyle w:val="Heading4"/>
        <w:ind w:left="360"/>
      </w:pPr>
      <w:r>
        <w:t>Large group followed by small group format</w:t>
      </w:r>
    </w:p>
    <w:p w14:paraId="63161497" w14:textId="358B8D0C" w:rsidR="00873800" w:rsidRDefault="003F0302" w:rsidP="003F0302">
      <w:pPr>
        <w:ind w:left="360"/>
      </w:pPr>
      <w:r>
        <w:t xml:space="preserve">This format would blend the advantages of a single large group format, used for one of the three sections of the assessment, combined with small groups for the other two areas. You might select the shortest section, </w:t>
      </w:r>
      <w:r w:rsidR="00AF09D3">
        <w:t>“skilled w</w:t>
      </w:r>
      <w:r>
        <w:t>orkforce,</w:t>
      </w:r>
      <w:r w:rsidR="00AF09D3">
        <w:t xml:space="preserve">” as the single group exercise. </w:t>
      </w:r>
      <w:r>
        <w:t>This would give participants a sense of how the activity will be condu</w:t>
      </w:r>
      <w:r w:rsidR="00AF09D3">
        <w:t xml:space="preserve">cted and what to expect. </w:t>
      </w:r>
      <w:r>
        <w:t>Once you’ve completed this section, the group could then be divided into two smaller groups, each assigned one of the two remaining sections.</w:t>
      </w:r>
    </w:p>
    <w:p w14:paraId="76665B7A" w14:textId="2A1AD6A6" w:rsidR="00F0231E" w:rsidRDefault="003F0302" w:rsidP="003F0302">
      <w:r w:rsidRPr="00CC5E66">
        <w:t>If you</w:t>
      </w:r>
      <w:r>
        <w:t xml:space="preserve"> will</w:t>
      </w:r>
      <w:r w:rsidRPr="00CC5E66">
        <w:t xml:space="preserve"> use a combination of large group/small group or small group only, you may want to consider pre-assigning participants prior to the event to </w:t>
      </w:r>
      <w:r>
        <w:t xml:space="preserve">one of the three </w:t>
      </w:r>
      <w:r w:rsidRPr="00CC5E66">
        <w:t>discussion group</w:t>
      </w:r>
      <w:r>
        <w:t>s based on the three elements of the informatics-savvy model (se</w:t>
      </w:r>
      <w:r w:rsidRPr="003D2648">
        <w:t xml:space="preserve">e page </w:t>
      </w:r>
      <w:r w:rsidR="003D2648" w:rsidRPr="003D2648">
        <w:t>5</w:t>
      </w:r>
      <w:r w:rsidRPr="003D2648">
        <w:t>).</w:t>
      </w:r>
      <w:r w:rsidRPr="00CC5E66">
        <w:t xml:space="preserve">  This will ensure that the groups are made up of a mix of representatives from across the health department, fostering a more impactful discussion.  </w:t>
      </w:r>
    </w:p>
    <w:p w14:paraId="224115D6" w14:textId="77777777" w:rsidR="00F0231E" w:rsidRDefault="00F0231E">
      <w:pPr>
        <w:suppressAutoHyphens w:val="0"/>
        <w:autoSpaceDE/>
        <w:autoSpaceDN/>
        <w:adjustRightInd/>
        <w:spacing w:after="160" w:line="259" w:lineRule="auto"/>
        <w:textAlignment w:val="auto"/>
      </w:pPr>
      <w:r>
        <w:br w:type="page"/>
      </w:r>
    </w:p>
    <w:p w14:paraId="44356353" w14:textId="6FD1AC3A" w:rsidR="00F0231E" w:rsidRDefault="00F0231E" w:rsidP="00F0231E">
      <w:pPr>
        <w:pStyle w:val="Heading1"/>
      </w:pPr>
      <w:bookmarkStart w:id="11" w:name="_Toc1737525"/>
      <w:r>
        <w:lastRenderedPageBreak/>
        <w:t>Preparing for the meeting</w:t>
      </w:r>
      <w:bookmarkEnd w:id="11"/>
    </w:p>
    <w:p w14:paraId="4F30439D" w14:textId="4F425B07" w:rsidR="00F0231E" w:rsidRDefault="00F0231E" w:rsidP="00F0231E">
      <w:pPr>
        <w:pStyle w:val="Heading2"/>
      </w:pPr>
      <w:bookmarkStart w:id="12" w:name="_Toc1737526"/>
      <w:r>
        <w:t>Who to invite</w:t>
      </w:r>
      <w:bookmarkEnd w:id="12"/>
    </w:p>
    <w:p w14:paraId="099EBD6C" w14:textId="17020B7F" w:rsidR="00F0231E" w:rsidRDefault="00F0231E" w:rsidP="00F0231E">
      <w:r>
        <w:t xml:space="preserve">Deciding who to invite should be approached thoughtfully, balancing managerial and program, seasoned and newer staff. Ultimately, anyone who works with information and with information systems (whether programmatic or administrative/financial) is appropriate to invite. </w:t>
      </w:r>
    </w:p>
    <w:p w14:paraId="7FFDC99A" w14:textId="1653954F" w:rsidR="003F0302" w:rsidRPr="00CC5E66" w:rsidRDefault="00F0231E" w:rsidP="00F0231E">
      <w:r>
        <w:t>You may also consider inviting key external stakeholders, such as staff from the Medicaid program, human services or central IT.</w:t>
      </w:r>
    </w:p>
    <w:bookmarkStart w:id="13" w:name="_Toc1737527"/>
    <w:p w14:paraId="64C8D8BD" w14:textId="6B25E8E3" w:rsidR="00873800" w:rsidRDefault="00F0231E" w:rsidP="00F0231E">
      <w:pPr>
        <w:pStyle w:val="Heading2"/>
      </w:pPr>
      <w:r>
        <w:rPr>
          <w:noProof/>
        </w:rPr>
        <mc:AlternateContent>
          <mc:Choice Requires="wps">
            <w:drawing>
              <wp:anchor distT="45720" distB="45720" distL="182880" distR="91440" simplePos="0" relativeHeight="251673600" behindDoc="0" locked="0" layoutInCell="1" allowOverlap="1" wp14:anchorId="6BFFAB4A" wp14:editId="59D867BF">
                <wp:simplePos x="0" y="0"/>
                <wp:positionH relativeFrom="page">
                  <wp:posOffset>4362450</wp:posOffset>
                </wp:positionH>
                <wp:positionV relativeFrom="page">
                  <wp:posOffset>2886076</wp:posOffset>
                </wp:positionV>
                <wp:extent cx="2438400" cy="8953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95350"/>
                        </a:xfrm>
                        <a:prstGeom prst="rect">
                          <a:avLst/>
                        </a:prstGeom>
                        <a:solidFill>
                          <a:srgbClr val="5C8CB6"/>
                        </a:solidFill>
                        <a:ln w="9525">
                          <a:noFill/>
                          <a:miter lim="800000"/>
                          <a:headEnd/>
                          <a:tailEnd/>
                        </a:ln>
                      </wps:spPr>
                      <wps:txbx>
                        <w:txbxContent>
                          <w:p w14:paraId="272E3D1E" w14:textId="3875834C" w:rsidR="00F51319" w:rsidRPr="00E45C12" w:rsidRDefault="00F51319" w:rsidP="00F0231E">
                            <w:pPr>
                              <w:pStyle w:val="PullQuotenoSidebarsandImgCaption"/>
                            </w:pPr>
                            <w:r w:rsidRPr="00F0231E">
                              <w:t xml:space="preserve">Preparing for the session will require a time commitment, resources and organization.  </w:t>
                            </w:r>
                          </w:p>
                        </w:txbxContent>
                      </wps:txbx>
                      <wps:bodyPr rot="0" vert="horz" wrap="square" lIns="137160" tIns="137160" rIns="137160" bIns="13716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BFFAB4A" id="_x0000_s1030" type="#_x0000_t202" style="position:absolute;margin-left:343.5pt;margin-top:227.25pt;width:192pt;height:70.5pt;z-index:251673600;visibility:visible;mso-wrap-style:square;mso-width-percent:0;mso-height-percent:0;mso-wrap-distance-left:14.4pt;mso-wrap-distance-top:3.6pt;mso-wrap-distance-right:7.2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" fillcolor="#5c8cb6" stroked="f">
                <v:textbox inset="10.8pt,10.8pt,10.8pt,10.8pt">
                  <w:txbxContent>
                    <w:p w14:paraId="272E3D1E" w14:textId="3875834C" w:rsidR="00F51319" w:rsidRPr="00E45C12" w:rsidRDefault="00F51319" w:rsidP="00F0231E">
                      <w:pPr>
                        <w:pStyle w:val="PullQuotenoSidebarsandImgCaption"/>
                      </w:pPr>
                      <w:r w:rsidRPr="00F0231E">
                        <w:t xml:space="preserve">Preparing for the session will require a time commitment, resources and organization.  </w:t>
                      </w:r>
                    </w:p>
                  </w:txbxContent>
                </v:textbox>
                <w10:wrap type="square" anchorx="page" anchory="page"/>
              </v:shape>
            </w:pict>
          </mc:Fallback>
        </mc:AlternateContent>
      </w:r>
      <w:r>
        <w:t>Planning s</w:t>
      </w:r>
      <w:r w:rsidRPr="00F0231E">
        <w:t>teps</w:t>
      </w:r>
      <w:bookmarkEnd w:id="13"/>
    </w:p>
    <w:p w14:paraId="7FDF4A48" w14:textId="684814EC" w:rsidR="00873800" w:rsidRDefault="00F0231E" w:rsidP="003F0302">
      <w:r w:rsidRPr="00F0231E">
        <w:t xml:space="preserve">There are several steps to organizing an informatics savvy health department self-assessment meeting, described below. The time estimates are based on previous experience with other health departments.  </w:t>
      </w:r>
    </w:p>
    <w:p w14:paraId="4714D17A" w14:textId="580A2B35" w:rsidR="00F0231E" w:rsidRDefault="00F0231E" w:rsidP="00F0231E">
      <w:pPr>
        <w:pStyle w:val="Heading4"/>
      </w:pPr>
      <w:r>
        <w:t>Step one – getting familiar with the purpose and tools (level of effort: 2-4 hours)</w:t>
      </w:r>
    </w:p>
    <w:p w14:paraId="04B5130F" w14:textId="28E079F8" w:rsidR="00F0231E" w:rsidRDefault="00F0231E" w:rsidP="00F0231E">
      <w:r>
        <w:t xml:space="preserve">This is the time for you to familiarize yourself with the assessment tool and other informatics-savvy artifacts.  This includes reviewing the sample slide deck available on the </w:t>
      </w:r>
      <w:hyperlink r:id="rId29" w:history="1">
        <w:r w:rsidR="00C056B5" w:rsidRPr="00C53174">
          <w:rPr>
            <w:rStyle w:val="Hyperlink"/>
          </w:rPr>
          <w:t>www.phii.org/infosavvy</w:t>
        </w:r>
      </w:hyperlink>
      <w:r w:rsidR="00C056B5">
        <w:t xml:space="preserve"> </w:t>
      </w:r>
      <w:r>
        <w:t>website to decide how you would modify it to better convey your agency’s priorities, needs, opportunities, etc. This is the time to be clear in your mind about how you would communicate the value in conducting such an assessment and planning event, critical before moving to step 2. It may be helpful to assume that participants will be skeptical about the value of so many people “sacrificing” a day for a planning event. Taking the time to persuas</w:t>
      </w:r>
      <w:r w:rsidR="00AC40AB">
        <w:t>ively (but honestly!) describe</w:t>
      </w:r>
      <w:r>
        <w:t xml:space="preserve"> the value will be key to gaining support or at least minimizing reluctance.</w:t>
      </w:r>
    </w:p>
    <w:p w14:paraId="31A8E2D8" w14:textId="77777777" w:rsidR="00F0231E" w:rsidRDefault="00F0231E" w:rsidP="00F0231E">
      <w:r>
        <w:t xml:space="preserve">Also take the time to understand the basic construct of the self-assessment instrument, reviewing the instructions for administration. This might be a good time to decide how you will record the consensus scores from the self-assessment and any discussions and/or action steps/priorities identified by the participants (see the appendix for a sample).    </w:t>
      </w:r>
    </w:p>
    <w:p w14:paraId="37133B61" w14:textId="79F6A138" w:rsidR="00F0231E" w:rsidRDefault="00AC40AB" w:rsidP="00AC40AB">
      <w:pPr>
        <w:pStyle w:val="Heading4"/>
      </w:pPr>
      <w:r>
        <w:t>Step two – secure executive sponsorship (level of effort: v</w:t>
      </w:r>
      <w:r w:rsidR="00F0231E">
        <w:t>ariable)</w:t>
      </w:r>
    </w:p>
    <w:p w14:paraId="77D9D9F1" w14:textId="5FB152E3" w:rsidR="00F0231E" w:rsidRDefault="00F0231E" w:rsidP="00F0231E">
      <w:r>
        <w:t>Since bringing staff together from across “</w:t>
      </w:r>
      <w:proofErr w:type="spellStart"/>
      <w:r>
        <w:t>siloed</w:t>
      </w:r>
      <w:proofErr w:type="spellEnd"/>
      <w:r>
        <w:t>” programs to discuss challenges and opportunities is a rare event, and one which ideally will launch a major capacity-building initiative, it is important to have senior leadership commitment and support. Whether this support comes from the most senior levels in the health department or from a lower, mo</w:t>
      </w:r>
      <w:r w:rsidR="00334768">
        <w:t>re programmatic level</w:t>
      </w:r>
      <w:r>
        <w:t xml:space="preserve"> will depend upon the scope of the meeting (see above for more on scope). What is certain is that senior level support is the single most critical success factor for projects of any kind that involve change. </w:t>
      </w:r>
    </w:p>
    <w:p w14:paraId="7B8AED5B" w14:textId="5A3AACA8" w:rsidR="00F0231E" w:rsidRDefault="00334768" w:rsidP="00334768">
      <w:pPr>
        <w:pStyle w:val="Heading4"/>
      </w:pPr>
      <w:r>
        <w:t>Step three – decide on s</w:t>
      </w:r>
      <w:r w:rsidR="00F0231E">
        <w:t>c</w:t>
      </w:r>
      <w:r>
        <w:t>ope and format (l</w:t>
      </w:r>
      <w:r w:rsidR="00F0231E">
        <w:t>evel of effort: 2-4 hours)</w:t>
      </w:r>
    </w:p>
    <w:p w14:paraId="1BC0B12D" w14:textId="66749C2F" w:rsidR="00F0231E" w:rsidRDefault="00F0231E" w:rsidP="00F0231E">
      <w:r>
        <w:t xml:space="preserve">Work with the executive sponsor and perhaps a small, representative planning committee to determine the purpose and scope </w:t>
      </w:r>
      <w:r w:rsidR="00334768">
        <w:t xml:space="preserve">of the assessment (see above). </w:t>
      </w:r>
      <w:r>
        <w:t xml:space="preserve">Decisions regarding the meeting length and format should be discussed and planned prior to extending invitations.  </w:t>
      </w:r>
    </w:p>
    <w:p w14:paraId="194334D7" w14:textId="77777777" w:rsidR="00262E0C" w:rsidRDefault="00262E0C">
      <w:pPr>
        <w:suppressAutoHyphens w:val="0"/>
        <w:autoSpaceDE/>
        <w:autoSpaceDN/>
        <w:adjustRightInd/>
        <w:spacing w:after="160" w:line="259" w:lineRule="auto"/>
        <w:textAlignment w:val="auto"/>
        <w:rPr>
          <w:rFonts w:asciiTheme="majorHAnsi" w:eastAsiaTheme="majorEastAsia" w:hAnsiTheme="majorHAnsi" w:cstheme="majorBidi"/>
          <w:i/>
          <w:iCs/>
          <w:color w:val="2F5496" w:themeColor="accent1" w:themeShade="BF"/>
        </w:rPr>
      </w:pPr>
      <w:r>
        <w:br w:type="page"/>
      </w:r>
    </w:p>
    <w:p w14:paraId="4A59BB3A" w14:textId="31DA2827" w:rsidR="00F0231E" w:rsidRDefault="00334768" w:rsidP="00334768">
      <w:pPr>
        <w:pStyle w:val="Heading4"/>
      </w:pPr>
      <w:r>
        <w:lastRenderedPageBreak/>
        <w:t>Step four – logistical planning (l</w:t>
      </w:r>
      <w:r w:rsidR="00F0231E">
        <w:t>evel of effort: 6-12 hours)</w:t>
      </w:r>
    </w:p>
    <w:p w14:paraId="6D8DD101" w14:textId="77777777" w:rsidR="00262E0C" w:rsidRDefault="00F0231E" w:rsidP="00262E0C">
      <w:r>
        <w:t>The final step focuses on logistics for t</w:t>
      </w:r>
      <w:r w:rsidR="00262E0C">
        <w:t xml:space="preserve">he meeting, which can include: </w:t>
      </w:r>
    </w:p>
    <w:p w14:paraId="2F98F362" w14:textId="77777777" w:rsidR="00262E0C" w:rsidRDefault="00F0231E" w:rsidP="00F0231E">
      <w:pPr>
        <w:pStyle w:val="ListParagraph"/>
        <w:numPr>
          <w:ilvl w:val="0"/>
          <w:numId w:val="17"/>
        </w:numPr>
      </w:pPr>
      <w:r>
        <w:t>Determining roles and responsibilities (see table below).</w:t>
      </w:r>
    </w:p>
    <w:p w14:paraId="02C08394" w14:textId="77777777" w:rsidR="00262E0C" w:rsidRDefault="00262E0C" w:rsidP="00F0231E">
      <w:pPr>
        <w:pStyle w:val="ListParagraph"/>
        <w:numPr>
          <w:ilvl w:val="0"/>
          <w:numId w:val="17"/>
        </w:numPr>
      </w:pPr>
      <w:r>
        <w:t>Reserving an appropriate space and</w:t>
      </w:r>
      <w:r w:rsidR="00F0231E">
        <w:t xml:space="preserve"> familiarizing yourself with it if it is new to you. </w:t>
      </w:r>
    </w:p>
    <w:p w14:paraId="39443B0B" w14:textId="77777777" w:rsidR="00262E0C" w:rsidRDefault="00F0231E" w:rsidP="00F0231E">
      <w:pPr>
        <w:pStyle w:val="ListParagraph"/>
        <w:numPr>
          <w:ilvl w:val="0"/>
          <w:numId w:val="17"/>
        </w:numPr>
      </w:pPr>
      <w:r>
        <w:t>Assembling the invitation list.</w:t>
      </w:r>
    </w:p>
    <w:p w14:paraId="44151A18" w14:textId="77777777" w:rsidR="00262E0C" w:rsidRDefault="00F0231E" w:rsidP="00F0231E">
      <w:pPr>
        <w:pStyle w:val="ListParagraph"/>
        <w:numPr>
          <w:ilvl w:val="0"/>
          <w:numId w:val="17"/>
        </w:numPr>
      </w:pPr>
      <w:r>
        <w:t>Developing an agenda and getting it approved.</w:t>
      </w:r>
    </w:p>
    <w:p w14:paraId="03C9E920" w14:textId="77777777" w:rsidR="00A77977" w:rsidRDefault="00F0231E" w:rsidP="00F0231E">
      <w:pPr>
        <w:pStyle w:val="ListParagraph"/>
        <w:numPr>
          <w:ilvl w:val="0"/>
          <w:numId w:val="17"/>
        </w:numPr>
      </w:pPr>
      <w:r>
        <w:t>Extending invitations, including to any or all senior leaders who should attend (at least at the beginning of the event to show their support and commitment).</w:t>
      </w:r>
    </w:p>
    <w:p w14:paraId="4D605CC6" w14:textId="2DD5F2A1" w:rsidR="00F0231E" w:rsidRDefault="00F0231E" w:rsidP="00F0231E">
      <w:pPr>
        <w:pStyle w:val="ListParagraph"/>
        <w:numPr>
          <w:ilvl w:val="0"/>
          <w:numId w:val="17"/>
        </w:numPr>
      </w:pPr>
      <w:r>
        <w:t>Recruiting small group facilitators (if using small groups)</w:t>
      </w:r>
    </w:p>
    <w:p w14:paraId="55BCCCFB" w14:textId="77777777" w:rsidR="00F25782" w:rsidRDefault="00F0231E" w:rsidP="00F0231E">
      <w:r>
        <w:t>You may choose to send 1-3 of the brief J</w:t>
      </w:r>
      <w:r w:rsidR="00F25782">
        <w:t xml:space="preserve">ournal of </w:t>
      </w:r>
      <w:r>
        <w:t>P</w:t>
      </w:r>
      <w:r w:rsidR="00F25782">
        <w:t xml:space="preserve">ublic Health </w:t>
      </w:r>
      <w:r>
        <w:t>M</w:t>
      </w:r>
      <w:r w:rsidR="00F25782">
        <w:t xml:space="preserve">anagement and </w:t>
      </w:r>
      <w:r>
        <w:t>P</w:t>
      </w:r>
      <w:r w:rsidR="00F25782">
        <w:t>ractice</w:t>
      </w:r>
      <w:r>
        <w:t xml:space="preserve"> articles found at </w:t>
      </w:r>
      <w:hyperlink r:id="rId30" w:history="1">
        <w:r w:rsidR="00764407" w:rsidRPr="00C53174">
          <w:rPr>
            <w:rStyle w:val="Hyperlink"/>
          </w:rPr>
          <w:t>www.phii.org/infosavvy</w:t>
        </w:r>
      </w:hyperlink>
      <w:r w:rsidR="00764407">
        <w:t xml:space="preserve"> </w:t>
      </w:r>
      <w:r>
        <w:t>as pre-reading for participants. Choose whichever article(s) seems most relevant to your priorities. If you are pre-assigning staff to one of three small groups based on the graphic found above, you could send the appropriate articl</w:t>
      </w:r>
      <w:r w:rsidR="00F25782">
        <w:t>es to each group; for instance:</w:t>
      </w:r>
    </w:p>
    <w:p w14:paraId="66B04D41" w14:textId="414F27F7" w:rsidR="00F25782" w:rsidRDefault="00F0231E" w:rsidP="00F0231E">
      <w:pPr>
        <w:pStyle w:val="ListParagraph"/>
        <w:numPr>
          <w:ilvl w:val="0"/>
          <w:numId w:val="18"/>
        </w:numPr>
      </w:pPr>
      <w:r>
        <w:t xml:space="preserve">Everyone receives </w:t>
      </w:r>
      <w:r w:rsidR="00F25782">
        <w:t>“</w:t>
      </w:r>
      <w:r>
        <w:t>Building an Informatics-Savvy Health Department: Part I, Vision and Core Strategies.</w:t>
      </w:r>
      <w:r w:rsidR="00F25782">
        <w:t>”</w:t>
      </w:r>
    </w:p>
    <w:p w14:paraId="4007C20D" w14:textId="77777777" w:rsidR="0058510B" w:rsidRDefault="00F0231E" w:rsidP="00F0231E">
      <w:pPr>
        <w:pStyle w:val="ListParagraph"/>
        <w:numPr>
          <w:ilvl w:val="0"/>
          <w:numId w:val="18"/>
        </w:numPr>
      </w:pPr>
      <w:r>
        <w:t xml:space="preserve">Those in the “informatics vision” group also are asked to read </w:t>
      </w:r>
      <w:r w:rsidR="00F25782">
        <w:t>“</w:t>
      </w:r>
      <w:r>
        <w:t>Developing an Informatics-Savvy Health Department: From Discrete Projects to a Coordinating Program. Part I: Assessment and Governance</w:t>
      </w:r>
      <w:r w:rsidR="00F25782">
        <w:t>”</w:t>
      </w:r>
      <w:r>
        <w:t xml:space="preserve"> and </w:t>
      </w:r>
      <w:r w:rsidR="00F25782">
        <w:t>“</w:t>
      </w:r>
      <w:r>
        <w:t>Building an Informatics-Savvy Health Department II: Operations and Tactics</w:t>
      </w:r>
      <w:r w:rsidR="00F25782">
        <w:t>.”</w:t>
      </w:r>
    </w:p>
    <w:p w14:paraId="5CE780C4" w14:textId="77777777" w:rsidR="001D46B6" w:rsidRDefault="00F0231E" w:rsidP="00F0231E">
      <w:pPr>
        <w:pStyle w:val="ListParagraph"/>
        <w:numPr>
          <w:ilvl w:val="0"/>
          <w:numId w:val="18"/>
        </w:numPr>
      </w:pPr>
      <w:r>
        <w:t xml:space="preserve">Those in the workforce group would receive </w:t>
      </w:r>
      <w:r w:rsidR="001D46B6">
        <w:t>“</w:t>
      </w:r>
      <w:r>
        <w:t>Developing an Informatics-Savvy Health Department: From Discrete Projects to a Coordinating Program Part II: Creating a Skilled Workforce.</w:t>
      </w:r>
      <w:r w:rsidR="001D46B6">
        <w:t>”</w:t>
      </w:r>
    </w:p>
    <w:p w14:paraId="5C52D79B" w14:textId="5DF7DAAC" w:rsidR="00F0231E" w:rsidRDefault="00F0231E" w:rsidP="00F0231E">
      <w:pPr>
        <w:pStyle w:val="ListParagraph"/>
        <w:numPr>
          <w:ilvl w:val="0"/>
          <w:numId w:val="18"/>
        </w:numPr>
      </w:pPr>
      <w:r>
        <w:t xml:space="preserve">Those in the third group on information systems would read </w:t>
      </w:r>
      <w:r w:rsidR="001D46B6">
        <w:t>“</w:t>
      </w:r>
      <w:r>
        <w:t>Developing an Informatics-Savvy Health Department: From Discrete Projects to a Coordinating Program—Part III, Ensuring Well-Designed and Effectively Used Information Systems.</w:t>
      </w:r>
      <w:r w:rsidR="001D46B6">
        <w:t>”</w:t>
      </w:r>
    </w:p>
    <w:p w14:paraId="30578C35" w14:textId="7F01989B" w:rsidR="00873800" w:rsidRDefault="00F0231E" w:rsidP="00F0231E">
      <w:r>
        <w:t>Such pre-reading will help participants become familiar with key informatics concepts and terminology, as well as with reasons to be embarking on the path to increasing informatics capacity.</w:t>
      </w:r>
    </w:p>
    <w:p w14:paraId="4E2936E4" w14:textId="77777777" w:rsidR="009353A2" w:rsidRDefault="009353A2">
      <w:pPr>
        <w:suppressAutoHyphens w:val="0"/>
        <w:autoSpaceDE/>
        <w:autoSpaceDN/>
        <w:adjustRightInd/>
        <w:spacing w:after="160" w:line="259" w:lineRule="auto"/>
        <w:textAlignment w:val="auto"/>
        <w:rPr>
          <w:b/>
          <w:sz w:val="26"/>
          <w:szCs w:val="26"/>
        </w:rPr>
      </w:pPr>
      <w:r>
        <w:br w:type="page"/>
      </w:r>
    </w:p>
    <w:p w14:paraId="742BDB42" w14:textId="1487E7B4" w:rsidR="00C272D9" w:rsidRDefault="009353A2" w:rsidP="00C272D9">
      <w:pPr>
        <w:pStyle w:val="Heading2"/>
      </w:pPr>
      <w:bookmarkStart w:id="14" w:name="_Toc1737528"/>
      <w:r>
        <w:lastRenderedPageBreak/>
        <w:t>Roles and responsibilities</w:t>
      </w:r>
      <w:bookmarkEnd w:id="14"/>
    </w:p>
    <w:p w14:paraId="7B486026" w14:textId="04F423C0" w:rsidR="00873800" w:rsidRDefault="009353A2" w:rsidP="009353A2">
      <w:r>
        <w:t>The table below provides possible roles and responsibilities for your meeting. Adapt as needed to meet your needs.</w:t>
      </w:r>
    </w:p>
    <w:p w14:paraId="1E018E3C" w14:textId="6CFF0EA4" w:rsidR="002C3280" w:rsidRPr="002C3280" w:rsidRDefault="009353A2" w:rsidP="002C3280">
      <w:pPr>
        <w:pStyle w:val="Heading3"/>
      </w:pPr>
      <w:bookmarkStart w:id="15" w:name="_Toc1737529"/>
      <w:r>
        <w:t>Table 3. Roles and responsibilities</w:t>
      </w:r>
      <w:bookmarkEnd w:id="15"/>
    </w:p>
    <w:tbl>
      <w:tblPr>
        <w:tblW w:w="10080" w:type="dxa"/>
        <w:tblLayout w:type="fixed"/>
        <w:tblCellMar>
          <w:left w:w="0" w:type="dxa"/>
          <w:right w:w="0" w:type="dxa"/>
        </w:tblCellMar>
        <w:tblLook w:val="0000" w:firstRow="0" w:lastRow="0" w:firstColumn="0" w:lastColumn="0" w:noHBand="0" w:noVBand="0"/>
      </w:tblPr>
      <w:tblGrid>
        <w:gridCol w:w="1530"/>
        <w:gridCol w:w="2700"/>
        <w:gridCol w:w="5850"/>
      </w:tblGrid>
      <w:tr w:rsidR="00C272D9" w:rsidRPr="00E21FB2" w14:paraId="3C15594A" w14:textId="77777777" w:rsidTr="002C3280">
        <w:trPr>
          <w:trHeight w:val="60"/>
          <w:tblHeader/>
        </w:trPr>
        <w:tc>
          <w:tcPr>
            <w:tcW w:w="1530" w:type="dxa"/>
            <w:tcBorders>
              <w:top w:val="single" w:sz="12" w:space="0" w:color="004A88"/>
              <w:bottom w:val="single" w:sz="8" w:space="0" w:color="004A88"/>
              <w:right w:val="single" w:sz="4" w:space="0" w:color="FFFFFF" w:themeColor="background1"/>
            </w:tcBorders>
            <w:shd w:val="clear" w:color="auto" w:fill="5C8CB6"/>
            <w:tcMar>
              <w:top w:w="80" w:type="dxa"/>
              <w:left w:w="80" w:type="dxa"/>
              <w:bottom w:w="80" w:type="dxa"/>
              <w:right w:w="80" w:type="dxa"/>
            </w:tcMar>
          </w:tcPr>
          <w:p w14:paraId="1AA2739A" w14:textId="77777777" w:rsidR="00C272D9" w:rsidRPr="00E21FB2" w:rsidRDefault="00C272D9" w:rsidP="002C3280">
            <w:pPr>
              <w:pStyle w:val="TableHeadCenterTablesandCharts"/>
            </w:pPr>
            <w:r>
              <w:t>Role</w:t>
            </w:r>
          </w:p>
        </w:tc>
        <w:tc>
          <w:tcPr>
            <w:tcW w:w="2700" w:type="dxa"/>
            <w:tcBorders>
              <w:top w:val="single" w:sz="12" w:space="0" w:color="004A88"/>
              <w:left w:val="single" w:sz="4" w:space="0" w:color="FFFFFF" w:themeColor="background1"/>
              <w:bottom w:val="single" w:sz="8" w:space="0" w:color="004A88"/>
              <w:right w:val="single" w:sz="4" w:space="0" w:color="FFFFFF" w:themeColor="background1"/>
            </w:tcBorders>
            <w:shd w:val="clear" w:color="auto" w:fill="5C8CB6"/>
            <w:tcMar>
              <w:top w:w="80" w:type="dxa"/>
              <w:left w:w="80" w:type="dxa"/>
              <w:bottom w:w="80" w:type="dxa"/>
              <w:right w:w="80" w:type="dxa"/>
            </w:tcMar>
          </w:tcPr>
          <w:p w14:paraId="65399F21" w14:textId="77777777" w:rsidR="00C272D9" w:rsidRPr="00E21FB2" w:rsidRDefault="00C272D9" w:rsidP="002C3280">
            <w:pPr>
              <w:pStyle w:val="TableHeadCenterTablesandCharts"/>
            </w:pPr>
            <w:r>
              <w:t>Description</w:t>
            </w:r>
          </w:p>
        </w:tc>
        <w:tc>
          <w:tcPr>
            <w:tcW w:w="5850" w:type="dxa"/>
            <w:tcBorders>
              <w:top w:val="single" w:sz="12" w:space="0" w:color="004A88"/>
              <w:left w:val="single" w:sz="4" w:space="0" w:color="FFFFFF" w:themeColor="background1"/>
              <w:bottom w:val="single" w:sz="8" w:space="0" w:color="004A88"/>
              <w:right w:val="single" w:sz="4" w:space="0" w:color="FFFFFF" w:themeColor="background1"/>
            </w:tcBorders>
            <w:shd w:val="clear" w:color="auto" w:fill="5C8CB6"/>
            <w:tcMar>
              <w:top w:w="80" w:type="dxa"/>
              <w:left w:w="80" w:type="dxa"/>
              <w:bottom w:w="80" w:type="dxa"/>
              <w:right w:w="80" w:type="dxa"/>
            </w:tcMar>
          </w:tcPr>
          <w:p w14:paraId="6E9A9A10" w14:textId="77777777" w:rsidR="00C272D9" w:rsidRPr="00E21FB2" w:rsidRDefault="00C272D9" w:rsidP="002C3280">
            <w:pPr>
              <w:pStyle w:val="TableHeadCenterTablesandCharts"/>
            </w:pPr>
            <w:r>
              <w:t>Responsibility</w:t>
            </w:r>
          </w:p>
        </w:tc>
      </w:tr>
      <w:tr w:rsidR="00C272D9" w:rsidRPr="00E21FB2" w14:paraId="41DA4A46" w14:textId="77777777" w:rsidTr="002C3280">
        <w:trPr>
          <w:trHeight w:val="90"/>
        </w:trPr>
        <w:tc>
          <w:tcPr>
            <w:tcW w:w="1530" w:type="dxa"/>
            <w:tcBorders>
              <w:top w:val="single" w:sz="8" w:space="0" w:color="004A88"/>
              <w:bottom w:val="single" w:sz="4" w:space="0" w:color="004A88"/>
              <w:right w:val="single" w:sz="4" w:space="0" w:color="004A88"/>
            </w:tcBorders>
            <w:tcMar>
              <w:top w:w="90" w:type="dxa"/>
              <w:left w:w="90" w:type="dxa"/>
              <w:bottom w:w="90" w:type="dxa"/>
              <w:right w:w="90" w:type="dxa"/>
            </w:tcMar>
          </w:tcPr>
          <w:p w14:paraId="1A0F40EE" w14:textId="77777777" w:rsidR="00C272D9" w:rsidRPr="00E21FB2" w:rsidRDefault="00C272D9" w:rsidP="002C3280">
            <w:pPr>
              <w:pStyle w:val="TableTextTablesandCharts"/>
              <w:jc w:val="center"/>
            </w:pPr>
            <w:r>
              <w:t>Meeting f</w:t>
            </w:r>
            <w:r w:rsidRPr="009353A2">
              <w:t>acilitator(s)/</w:t>
            </w:r>
            <w:r>
              <w:t xml:space="preserve"> event c</w:t>
            </w:r>
            <w:r w:rsidRPr="009353A2">
              <w:t>oordinator(s)</w:t>
            </w:r>
          </w:p>
        </w:tc>
        <w:tc>
          <w:tcPr>
            <w:tcW w:w="2700" w:type="dxa"/>
            <w:tcBorders>
              <w:top w:val="single" w:sz="8" w:space="0" w:color="004A88"/>
              <w:left w:val="single" w:sz="4" w:space="0" w:color="004A88"/>
              <w:bottom w:val="single" w:sz="4" w:space="0" w:color="004A88"/>
              <w:right w:val="single" w:sz="4" w:space="0" w:color="004A88"/>
            </w:tcBorders>
            <w:tcMar>
              <w:top w:w="90" w:type="dxa"/>
              <w:left w:w="90" w:type="dxa"/>
              <w:bottom w:w="90" w:type="dxa"/>
              <w:right w:w="90" w:type="dxa"/>
            </w:tcMar>
          </w:tcPr>
          <w:p w14:paraId="563AA428" w14:textId="77777777" w:rsidR="00C272D9" w:rsidRPr="00E21FB2" w:rsidRDefault="00C272D9" w:rsidP="002C3280">
            <w:pPr>
              <w:pStyle w:val="TableTextTablesandCharts"/>
            </w:pPr>
            <w:r w:rsidRPr="009353A2">
              <w:t>The individual(s) with overall responsibility for supporting achievement of the meeting goals and objectives. This may be a shared role.</w:t>
            </w:r>
          </w:p>
        </w:tc>
        <w:tc>
          <w:tcPr>
            <w:tcW w:w="5850" w:type="dxa"/>
            <w:tcBorders>
              <w:top w:val="single" w:sz="8" w:space="0" w:color="004A88"/>
              <w:left w:val="single" w:sz="4" w:space="0" w:color="004A88"/>
              <w:bottom w:val="single" w:sz="4" w:space="0" w:color="004A88"/>
              <w:right w:val="single" w:sz="4" w:space="0" w:color="004A88"/>
            </w:tcBorders>
            <w:tcMar>
              <w:top w:w="90" w:type="dxa"/>
              <w:left w:w="90" w:type="dxa"/>
              <w:bottom w:w="90" w:type="dxa"/>
              <w:right w:w="90" w:type="dxa"/>
            </w:tcMar>
          </w:tcPr>
          <w:p w14:paraId="22B86721" w14:textId="77777777" w:rsidR="00C272D9" w:rsidRDefault="00C272D9" w:rsidP="002C3280">
            <w:pPr>
              <w:pStyle w:val="TableTextTablesandCharts"/>
              <w:numPr>
                <w:ilvl w:val="0"/>
                <w:numId w:val="19"/>
              </w:numPr>
              <w:ind w:left="361" w:hanging="360"/>
            </w:pPr>
            <w:r>
              <w:t>Work with leadership to design the meeting.</w:t>
            </w:r>
          </w:p>
          <w:p w14:paraId="1759133D" w14:textId="77777777" w:rsidR="00C272D9" w:rsidRDefault="00C272D9" w:rsidP="002C3280">
            <w:pPr>
              <w:pStyle w:val="TableTextTablesandCharts"/>
              <w:numPr>
                <w:ilvl w:val="0"/>
                <w:numId w:val="19"/>
              </w:numPr>
              <w:ind w:left="361" w:hanging="360"/>
            </w:pPr>
            <w:r>
              <w:t>Be completely familiar with the informatics-savvy tools in advance of meeting.</w:t>
            </w:r>
          </w:p>
          <w:p w14:paraId="4F43D21E" w14:textId="77777777" w:rsidR="00C272D9" w:rsidRDefault="00C272D9" w:rsidP="002C3280">
            <w:pPr>
              <w:pStyle w:val="TableTextTablesandCharts"/>
              <w:numPr>
                <w:ilvl w:val="0"/>
                <w:numId w:val="19"/>
              </w:numPr>
              <w:ind w:left="361" w:hanging="360"/>
            </w:pPr>
            <w:r>
              <w:t xml:space="preserve">Lead the decision-making on scope and format of the meeting. </w:t>
            </w:r>
          </w:p>
          <w:p w14:paraId="77E0A342" w14:textId="77777777" w:rsidR="00C272D9" w:rsidRDefault="00C272D9" w:rsidP="002C3280">
            <w:pPr>
              <w:pStyle w:val="TableTextTablesandCharts"/>
              <w:numPr>
                <w:ilvl w:val="0"/>
                <w:numId w:val="19"/>
              </w:numPr>
              <w:ind w:left="361" w:hanging="360"/>
            </w:pPr>
            <w:r>
              <w:t xml:space="preserve">Arrange site logistics. </w:t>
            </w:r>
          </w:p>
          <w:p w14:paraId="7FE41D6C" w14:textId="77777777" w:rsidR="00C272D9" w:rsidRDefault="00C272D9" w:rsidP="002C3280">
            <w:pPr>
              <w:pStyle w:val="TableTextTablesandCharts"/>
              <w:numPr>
                <w:ilvl w:val="0"/>
                <w:numId w:val="19"/>
              </w:numPr>
              <w:ind w:left="361" w:hanging="360"/>
            </w:pPr>
            <w:r>
              <w:t xml:space="preserve">Determine needs for audio-visual aids or other logistics for the meeting. </w:t>
            </w:r>
          </w:p>
          <w:p w14:paraId="6D49C193" w14:textId="77777777" w:rsidR="00C272D9" w:rsidRDefault="00C272D9" w:rsidP="002C3280">
            <w:pPr>
              <w:pStyle w:val="TableTextTablesandCharts"/>
              <w:numPr>
                <w:ilvl w:val="0"/>
                <w:numId w:val="19"/>
              </w:numPr>
              <w:ind w:left="361" w:hanging="360"/>
            </w:pPr>
            <w:r>
              <w:t>Arrange for or provides documentation of the meeting, including taking notes and recording the results.</w:t>
            </w:r>
          </w:p>
          <w:p w14:paraId="419422A8" w14:textId="77777777" w:rsidR="00C272D9" w:rsidRDefault="00C272D9" w:rsidP="002C3280">
            <w:pPr>
              <w:pStyle w:val="TableTextTablesandCharts"/>
              <w:numPr>
                <w:ilvl w:val="0"/>
                <w:numId w:val="19"/>
              </w:numPr>
              <w:ind w:left="361" w:hanging="360"/>
            </w:pPr>
            <w:r>
              <w:t>Identify and invite participants (or draft an invitation to come from leadership), including those who will participate in various elements of the assessment.</w:t>
            </w:r>
          </w:p>
          <w:p w14:paraId="6B02636A" w14:textId="77777777" w:rsidR="00C272D9" w:rsidRDefault="00C272D9" w:rsidP="002C3280">
            <w:pPr>
              <w:pStyle w:val="TableTextTablesandCharts"/>
              <w:numPr>
                <w:ilvl w:val="0"/>
                <w:numId w:val="19"/>
              </w:numPr>
              <w:ind w:left="361" w:hanging="360"/>
            </w:pPr>
            <w:r>
              <w:t>Develop any meeting evaluation questions/instrument.</w:t>
            </w:r>
          </w:p>
          <w:p w14:paraId="55ACD849" w14:textId="77777777" w:rsidR="00C272D9" w:rsidRDefault="00C272D9" w:rsidP="002C3280">
            <w:pPr>
              <w:pStyle w:val="TableTextTablesandCharts"/>
              <w:numPr>
                <w:ilvl w:val="0"/>
                <w:numId w:val="19"/>
              </w:numPr>
              <w:ind w:left="361" w:hanging="360"/>
            </w:pPr>
            <w:r>
              <w:t>Provide guidance during the meeting as needed for changes in activities, modification of the agenda and other decisions that may affect the success of the meeting.</w:t>
            </w:r>
          </w:p>
          <w:p w14:paraId="62F24F3F" w14:textId="77777777" w:rsidR="00C272D9" w:rsidRDefault="00C272D9" w:rsidP="002C3280">
            <w:pPr>
              <w:pStyle w:val="TableTextTablesandCharts"/>
              <w:numPr>
                <w:ilvl w:val="0"/>
                <w:numId w:val="19"/>
              </w:numPr>
              <w:ind w:left="361" w:hanging="360"/>
            </w:pPr>
            <w:r>
              <w:t>Facilitate the transitions between agenda items.</w:t>
            </w:r>
          </w:p>
          <w:p w14:paraId="04D6FEDB" w14:textId="77777777" w:rsidR="00C272D9" w:rsidRDefault="00C272D9" w:rsidP="002C3280">
            <w:pPr>
              <w:pStyle w:val="TableTextTablesandCharts"/>
              <w:numPr>
                <w:ilvl w:val="0"/>
                <w:numId w:val="19"/>
              </w:numPr>
              <w:ind w:left="361" w:hanging="360"/>
            </w:pPr>
            <w:r>
              <w:t>Ensure all scores, whether from large or small groups, are captured and preserved.</w:t>
            </w:r>
          </w:p>
          <w:p w14:paraId="46FBB84D" w14:textId="77777777" w:rsidR="00C272D9" w:rsidRPr="00E21FB2" w:rsidRDefault="00C272D9" w:rsidP="002C3280">
            <w:pPr>
              <w:pStyle w:val="TableTextTablesandCharts"/>
              <w:numPr>
                <w:ilvl w:val="0"/>
                <w:numId w:val="19"/>
              </w:numPr>
              <w:ind w:left="361" w:hanging="360"/>
            </w:pPr>
            <w:r>
              <w:t>Produce the output of the meeting (report or analysis of results, including the scores).</w:t>
            </w:r>
          </w:p>
        </w:tc>
      </w:tr>
      <w:tr w:rsidR="00C272D9" w:rsidRPr="00E21FB2" w14:paraId="78ABA291" w14:textId="77777777" w:rsidTr="002C3280">
        <w:trPr>
          <w:trHeight w:val="90"/>
        </w:trPr>
        <w:tc>
          <w:tcPr>
            <w:tcW w:w="1530" w:type="dxa"/>
            <w:tcBorders>
              <w:top w:val="single" w:sz="4" w:space="0" w:color="004A88"/>
              <w:bottom w:val="single" w:sz="4" w:space="0" w:color="004A88"/>
              <w:right w:val="single" w:sz="4" w:space="0" w:color="004A88"/>
            </w:tcBorders>
            <w:shd w:val="clear" w:color="auto" w:fill="CDE2F5"/>
            <w:tcMar>
              <w:top w:w="90" w:type="dxa"/>
              <w:left w:w="90" w:type="dxa"/>
              <w:bottom w:w="90" w:type="dxa"/>
              <w:right w:w="90" w:type="dxa"/>
            </w:tcMar>
          </w:tcPr>
          <w:p w14:paraId="6E603346" w14:textId="77777777" w:rsidR="00C272D9" w:rsidRPr="00E21FB2" w:rsidRDefault="00C272D9" w:rsidP="002C3280">
            <w:pPr>
              <w:pStyle w:val="TableTextTablesandCharts"/>
              <w:jc w:val="center"/>
            </w:pPr>
            <w:r w:rsidRPr="00C272D9">
              <w:t>Small group facilitators (if small groups used)</w:t>
            </w:r>
          </w:p>
        </w:tc>
        <w:tc>
          <w:tcPr>
            <w:tcW w:w="2700" w:type="dxa"/>
            <w:tcBorders>
              <w:top w:val="single" w:sz="4" w:space="0" w:color="004A88"/>
              <w:left w:val="single" w:sz="4" w:space="0" w:color="004A88"/>
              <w:bottom w:val="single" w:sz="4" w:space="0" w:color="004A88"/>
              <w:right w:val="single" w:sz="4" w:space="0" w:color="004A88"/>
            </w:tcBorders>
            <w:shd w:val="clear" w:color="auto" w:fill="CDE2F5"/>
            <w:tcMar>
              <w:top w:w="90" w:type="dxa"/>
              <w:left w:w="90" w:type="dxa"/>
              <w:bottom w:w="90" w:type="dxa"/>
              <w:right w:w="90" w:type="dxa"/>
            </w:tcMar>
          </w:tcPr>
          <w:p w14:paraId="7B9BE815" w14:textId="77777777" w:rsidR="00C272D9" w:rsidRPr="00E21FB2" w:rsidRDefault="00C272D9" w:rsidP="002C3280">
            <w:pPr>
              <w:pStyle w:val="TableTextTablesandCharts"/>
            </w:pPr>
            <w:r w:rsidRPr="00C272D9">
              <w:t>An individual, either selected ahead of time or nominated from within the small group, that ensures the assignment(s) to the small group are met within the allowed time.</w:t>
            </w:r>
          </w:p>
        </w:tc>
        <w:tc>
          <w:tcPr>
            <w:tcW w:w="5850" w:type="dxa"/>
            <w:tcBorders>
              <w:top w:val="single" w:sz="4" w:space="0" w:color="004A88"/>
              <w:left w:val="single" w:sz="4" w:space="0" w:color="004A88"/>
              <w:bottom w:val="single" w:sz="4" w:space="0" w:color="004A88"/>
              <w:right w:val="single" w:sz="4" w:space="0" w:color="004A88"/>
            </w:tcBorders>
            <w:shd w:val="clear" w:color="auto" w:fill="CDE2F5"/>
            <w:tcMar>
              <w:top w:w="90" w:type="dxa"/>
              <w:left w:w="90" w:type="dxa"/>
              <w:bottom w:w="90" w:type="dxa"/>
              <w:right w:w="90" w:type="dxa"/>
            </w:tcMar>
          </w:tcPr>
          <w:p w14:paraId="27235DF3" w14:textId="77777777" w:rsidR="00C272D9" w:rsidRDefault="00C272D9" w:rsidP="002C3280">
            <w:pPr>
              <w:pStyle w:val="TableTextTablesandCharts"/>
              <w:numPr>
                <w:ilvl w:val="0"/>
                <w:numId w:val="20"/>
              </w:numPr>
              <w:ind w:left="361" w:hanging="359"/>
            </w:pPr>
            <w:r>
              <w:t>Ensure each member of the small group understands the instructions and the process.</w:t>
            </w:r>
          </w:p>
          <w:p w14:paraId="12D7F18C" w14:textId="77777777" w:rsidR="00C272D9" w:rsidRDefault="00C272D9" w:rsidP="002C3280">
            <w:pPr>
              <w:pStyle w:val="TableTextTablesandCharts"/>
              <w:numPr>
                <w:ilvl w:val="0"/>
                <w:numId w:val="20"/>
              </w:numPr>
              <w:ind w:left="361" w:hanging="359"/>
            </w:pPr>
            <w:r>
              <w:t>Facilitate discussion to get to a consensus score for each question assigned to the group.</w:t>
            </w:r>
          </w:p>
          <w:p w14:paraId="015A392B" w14:textId="77777777" w:rsidR="00C272D9" w:rsidRDefault="00C272D9" w:rsidP="002C3280">
            <w:pPr>
              <w:pStyle w:val="TableTextTablesandCharts"/>
              <w:numPr>
                <w:ilvl w:val="0"/>
                <w:numId w:val="20"/>
              </w:numPr>
              <w:ind w:left="361" w:hanging="359"/>
            </w:pPr>
            <w:r>
              <w:t>Ensure the consensus score and any ideas for action items are recorded.</w:t>
            </w:r>
          </w:p>
          <w:p w14:paraId="7D4FC7A9" w14:textId="77777777" w:rsidR="00C272D9" w:rsidRPr="00E21FB2" w:rsidRDefault="00C272D9" w:rsidP="002C3280">
            <w:pPr>
              <w:pStyle w:val="TableTextTablesandCharts"/>
              <w:numPr>
                <w:ilvl w:val="0"/>
                <w:numId w:val="20"/>
              </w:numPr>
              <w:ind w:left="361" w:hanging="359"/>
            </w:pPr>
            <w:r>
              <w:t>Report to full group on the small group’s decisions or support another group member in doing so.</w:t>
            </w:r>
          </w:p>
        </w:tc>
      </w:tr>
      <w:tr w:rsidR="00C272D9" w:rsidRPr="00E21FB2" w14:paraId="725E7839" w14:textId="77777777" w:rsidTr="002C3280">
        <w:trPr>
          <w:trHeight w:val="90"/>
        </w:trPr>
        <w:tc>
          <w:tcPr>
            <w:tcW w:w="1530" w:type="dxa"/>
            <w:tcBorders>
              <w:top w:val="single" w:sz="4" w:space="0" w:color="004A88"/>
              <w:bottom w:val="single" w:sz="4" w:space="0" w:color="004A88"/>
              <w:right w:val="single" w:sz="4" w:space="0" w:color="004A88"/>
            </w:tcBorders>
            <w:tcMar>
              <w:top w:w="90" w:type="dxa"/>
              <w:left w:w="90" w:type="dxa"/>
              <w:bottom w:w="90" w:type="dxa"/>
              <w:right w:w="90" w:type="dxa"/>
            </w:tcMar>
          </w:tcPr>
          <w:p w14:paraId="6B8889F0" w14:textId="77777777" w:rsidR="00C272D9" w:rsidRPr="00E21FB2" w:rsidRDefault="00C272D9" w:rsidP="002C3280">
            <w:pPr>
              <w:pStyle w:val="TableTextTablesandCharts"/>
              <w:jc w:val="center"/>
            </w:pPr>
            <w:r w:rsidRPr="00C272D9">
              <w:t>Participants</w:t>
            </w:r>
          </w:p>
        </w:tc>
        <w:tc>
          <w:tcPr>
            <w:tcW w:w="2700" w:type="dxa"/>
            <w:tcBorders>
              <w:top w:val="single" w:sz="4" w:space="0" w:color="004A88"/>
              <w:left w:val="single" w:sz="4" w:space="0" w:color="004A88"/>
              <w:bottom w:val="single" w:sz="4" w:space="0" w:color="004A88"/>
              <w:right w:val="single" w:sz="4" w:space="0" w:color="004A88"/>
            </w:tcBorders>
            <w:tcMar>
              <w:top w:w="90" w:type="dxa"/>
              <w:left w:w="90" w:type="dxa"/>
              <w:bottom w:w="90" w:type="dxa"/>
              <w:right w:w="90" w:type="dxa"/>
            </w:tcMar>
          </w:tcPr>
          <w:p w14:paraId="7020A05D" w14:textId="77777777" w:rsidR="00C272D9" w:rsidRPr="00E21FB2" w:rsidRDefault="00C272D9" w:rsidP="002C3280">
            <w:pPr>
              <w:pStyle w:val="TableTextTablesandCharts"/>
            </w:pPr>
            <w:r w:rsidRPr="00C272D9">
              <w:t>Those individuals who provide their input on the self-assessment scores and on possible activities to build future capacity.</w:t>
            </w:r>
          </w:p>
        </w:tc>
        <w:tc>
          <w:tcPr>
            <w:tcW w:w="5850" w:type="dxa"/>
            <w:tcBorders>
              <w:top w:val="single" w:sz="4" w:space="0" w:color="004A88"/>
              <w:left w:val="single" w:sz="4" w:space="0" w:color="004A88"/>
              <w:bottom w:val="single" w:sz="4" w:space="0" w:color="004A88"/>
              <w:right w:val="single" w:sz="4" w:space="0" w:color="004A88"/>
            </w:tcBorders>
            <w:tcMar>
              <w:top w:w="90" w:type="dxa"/>
              <w:left w:w="90" w:type="dxa"/>
              <w:bottom w:w="90" w:type="dxa"/>
              <w:right w:w="90" w:type="dxa"/>
            </w:tcMar>
          </w:tcPr>
          <w:p w14:paraId="2F812255" w14:textId="77777777" w:rsidR="00896402" w:rsidRDefault="00896402" w:rsidP="002C3280">
            <w:pPr>
              <w:pStyle w:val="TableTextTablesandCharts"/>
              <w:numPr>
                <w:ilvl w:val="0"/>
                <w:numId w:val="21"/>
              </w:numPr>
              <w:ind w:left="361" w:hanging="359"/>
            </w:pPr>
            <w:r>
              <w:t>Review the instrument and any reading assignments ahead of the meeting.</w:t>
            </w:r>
          </w:p>
          <w:p w14:paraId="4E99C7AD" w14:textId="77777777" w:rsidR="00896402" w:rsidRDefault="00896402" w:rsidP="002C3280">
            <w:pPr>
              <w:pStyle w:val="TableTextTablesandCharts"/>
              <w:numPr>
                <w:ilvl w:val="0"/>
                <w:numId w:val="21"/>
              </w:numPr>
              <w:ind w:left="361" w:hanging="359"/>
            </w:pPr>
            <w:r>
              <w:t xml:space="preserve">Actively and candidly participate in the discussion, especially in the scoring and in identifying action steps.  </w:t>
            </w:r>
          </w:p>
          <w:p w14:paraId="0798077A" w14:textId="77777777" w:rsidR="00896402" w:rsidRDefault="00896402" w:rsidP="002C3280">
            <w:pPr>
              <w:pStyle w:val="TableTextTablesandCharts"/>
              <w:numPr>
                <w:ilvl w:val="0"/>
                <w:numId w:val="21"/>
              </w:numPr>
              <w:ind w:left="361" w:hanging="359"/>
            </w:pPr>
            <w:r>
              <w:t>Complete any event evaluation sent to participants.</w:t>
            </w:r>
          </w:p>
          <w:p w14:paraId="2EB50A72" w14:textId="045D3A73" w:rsidR="00C272D9" w:rsidRPr="00E21FB2" w:rsidRDefault="00896402" w:rsidP="002C3280">
            <w:pPr>
              <w:pStyle w:val="TableTextTablesandCharts"/>
              <w:numPr>
                <w:ilvl w:val="0"/>
                <w:numId w:val="21"/>
              </w:numPr>
              <w:ind w:left="361" w:hanging="359"/>
            </w:pPr>
            <w:r>
              <w:t>Be prepared to inform co-workers about the process and results of the day.</w:t>
            </w:r>
          </w:p>
        </w:tc>
      </w:tr>
      <w:tr w:rsidR="00C272D9" w:rsidRPr="00E21FB2" w14:paraId="330F7D4A" w14:textId="77777777" w:rsidTr="002C3280">
        <w:trPr>
          <w:trHeight w:val="90"/>
        </w:trPr>
        <w:tc>
          <w:tcPr>
            <w:tcW w:w="1530" w:type="dxa"/>
            <w:tcBorders>
              <w:top w:val="single" w:sz="4" w:space="0" w:color="004A88"/>
              <w:bottom w:val="single" w:sz="12" w:space="0" w:color="004A88"/>
              <w:right w:val="single" w:sz="4" w:space="0" w:color="004A88"/>
            </w:tcBorders>
            <w:shd w:val="clear" w:color="auto" w:fill="CDE2F5"/>
            <w:tcMar>
              <w:top w:w="90" w:type="dxa"/>
              <w:left w:w="90" w:type="dxa"/>
              <w:bottom w:w="90" w:type="dxa"/>
              <w:right w:w="90" w:type="dxa"/>
            </w:tcMar>
          </w:tcPr>
          <w:p w14:paraId="79967C84" w14:textId="1DE7FDEA" w:rsidR="00C272D9" w:rsidRPr="00E21FB2" w:rsidRDefault="00896402" w:rsidP="002C3280">
            <w:pPr>
              <w:pStyle w:val="TableTextTablesandCharts"/>
              <w:jc w:val="center"/>
            </w:pPr>
            <w:r w:rsidRPr="00896402">
              <w:lastRenderedPageBreak/>
              <w:t>Observers</w:t>
            </w:r>
          </w:p>
        </w:tc>
        <w:tc>
          <w:tcPr>
            <w:tcW w:w="2700" w:type="dxa"/>
            <w:tcBorders>
              <w:top w:val="single" w:sz="4" w:space="0" w:color="004A88"/>
              <w:left w:val="single" w:sz="4" w:space="0" w:color="004A88"/>
              <w:bottom w:val="single" w:sz="12" w:space="0" w:color="004A88"/>
              <w:right w:val="single" w:sz="4" w:space="0" w:color="004A88"/>
            </w:tcBorders>
            <w:shd w:val="clear" w:color="auto" w:fill="CDE2F5"/>
            <w:tcMar>
              <w:top w:w="90" w:type="dxa"/>
              <w:left w:w="90" w:type="dxa"/>
              <w:bottom w:w="90" w:type="dxa"/>
              <w:right w:w="90" w:type="dxa"/>
            </w:tcMar>
          </w:tcPr>
          <w:p w14:paraId="1D33C1A7" w14:textId="14065B3A" w:rsidR="00C272D9" w:rsidRPr="00E21FB2" w:rsidRDefault="00896402" w:rsidP="002C3280">
            <w:pPr>
              <w:pStyle w:val="TableTextTablesandCharts"/>
            </w:pPr>
            <w:r w:rsidRPr="00896402">
              <w:t>Individuals, perhaps from other agencies/departments, whose presence and participation or observing are optional during the self-assessment.</w:t>
            </w:r>
          </w:p>
        </w:tc>
        <w:tc>
          <w:tcPr>
            <w:tcW w:w="5850" w:type="dxa"/>
            <w:tcBorders>
              <w:top w:val="single" w:sz="4" w:space="0" w:color="004A88"/>
              <w:left w:val="single" w:sz="4" w:space="0" w:color="004A88"/>
              <w:bottom w:val="single" w:sz="12" w:space="0" w:color="004A88"/>
              <w:right w:val="single" w:sz="4" w:space="0" w:color="004A88"/>
            </w:tcBorders>
            <w:shd w:val="clear" w:color="auto" w:fill="CDE2F5"/>
            <w:tcMar>
              <w:top w:w="90" w:type="dxa"/>
              <w:left w:w="90" w:type="dxa"/>
              <w:bottom w:w="90" w:type="dxa"/>
              <w:right w:w="90" w:type="dxa"/>
            </w:tcMar>
          </w:tcPr>
          <w:p w14:paraId="413A8F1C" w14:textId="77777777" w:rsidR="00896402" w:rsidRDefault="00896402" w:rsidP="002C3280">
            <w:pPr>
              <w:pStyle w:val="TableTextTablesandCharts"/>
              <w:numPr>
                <w:ilvl w:val="0"/>
                <w:numId w:val="22"/>
              </w:numPr>
              <w:ind w:left="361" w:hanging="359"/>
            </w:pPr>
            <w:r>
              <w:t>Listen to the discussion, identifying where the capacities, challenges and opportunities being discussed are similar to their own agency experience.</w:t>
            </w:r>
          </w:p>
          <w:p w14:paraId="6598D425" w14:textId="436628DD" w:rsidR="00C272D9" w:rsidRPr="00E21FB2" w:rsidRDefault="00896402" w:rsidP="002C3280">
            <w:pPr>
              <w:pStyle w:val="TableTextTablesandCharts"/>
              <w:numPr>
                <w:ilvl w:val="0"/>
                <w:numId w:val="22"/>
              </w:numPr>
              <w:ind w:left="361" w:hanging="359"/>
            </w:pPr>
            <w:r>
              <w:t>Note where possible inter-agency collaboration may be useful, cost-effective or otherwise desirable.</w:t>
            </w:r>
          </w:p>
        </w:tc>
      </w:tr>
    </w:tbl>
    <w:p w14:paraId="72C0717F" w14:textId="393CB583" w:rsidR="00C272D9" w:rsidRDefault="00C272D9" w:rsidP="00C272D9"/>
    <w:p w14:paraId="307AFD19" w14:textId="7EE63068" w:rsidR="007F0BBC" w:rsidRDefault="007F0BBC" w:rsidP="007F0BBC">
      <w:pPr>
        <w:pStyle w:val="Heading2"/>
      </w:pPr>
      <w:bookmarkStart w:id="16" w:name="_Toc1737530"/>
      <w:r>
        <w:t>Final preparations</w:t>
      </w:r>
      <w:bookmarkEnd w:id="16"/>
    </w:p>
    <w:p w14:paraId="794C6871" w14:textId="2391E4C8" w:rsidR="007F0BBC" w:rsidRDefault="007F0BBC" w:rsidP="007F0BBC">
      <w:r>
        <w:t>The assessment tool should be sent to participants at least one week prior to the actual event. This will give them time to familiarize themselves with the assessment tool and begin to think about informatics across the health department in ways they may n</w:t>
      </w:r>
      <w:r w:rsidR="00C52BB7">
        <w:t xml:space="preserve">ot have previously considered. </w:t>
      </w:r>
      <w:r>
        <w:t xml:space="preserve">If participants are pre-assigned to a small discussion group, it will give them a chance to review the questions for that core element and begin to decide on scores.  </w:t>
      </w:r>
    </w:p>
    <w:p w14:paraId="034FB862" w14:textId="77777777" w:rsidR="007F0BBC" w:rsidRDefault="007F0BBC" w:rsidP="007F0BBC">
      <w:r>
        <w:t xml:space="preserve">Having hard copies at the meeting can be useful given the specific nature of the response categories for each question, so let them know if they need to print prior to the meeting (it’s a good idea to have extra copies anyway) or if you will bring copies. </w:t>
      </w:r>
    </w:p>
    <w:p w14:paraId="2461287F" w14:textId="77777777" w:rsidR="007F0BBC" w:rsidRDefault="007F0BBC" w:rsidP="007F0BBC">
      <w:r>
        <w:t xml:space="preserve">Also print copies of a score sheet (see the appendix for a sample but you can develop whatever works for your process and desired outputs). If using a single large group for the entire meeting, having 1-2 people (not the facilitator) document the scores and action steps is sufficient; if using small groups, having one person per group is needed. </w:t>
      </w:r>
    </w:p>
    <w:p w14:paraId="690C31A3" w14:textId="3A5FDFF4" w:rsidR="00C272D9" w:rsidRDefault="007F0BBC" w:rsidP="007F0BBC">
      <w:r>
        <w:t xml:space="preserve">The group facilitator should be focused on the discussion and moving the discussion along if it veers off on a tangent or stalls, not on documenting the discussion and scores.  </w:t>
      </w:r>
    </w:p>
    <w:p w14:paraId="74C6156D" w14:textId="24953A50" w:rsidR="00C52BB7" w:rsidRDefault="00C52BB7" w:rsidP="00C52BB7">
      <w:pPr>
        <w:pStyle w:val="Heading1"/>
      </w:pPr>
      <w:bookmarkStart w:id="17" w:name="_Toc1737531"/>
      <w:r>
        <w:t>Facilitating the meeting</w:t>
      </w:r>
      <w:bookmarkEnd w:id="17"/>
    </w:p>
    <w:p w14:paraId="6E30E6D6" w14:textId="77777777" w:rsidR="00C52BB7" w:rsidRDefault="00C52BB7" w:rsidP="00C52BB7">
      <w:r>
        <w:t>The typical process for conducting the agency self-assessment is as follows:</w:t>
      </w:r>
    </w:p>
    <w:p w14:paraId="6A869F68" w14:textId="77777777" w:rsidR="00C52BB7" w:rsidRDefault="00C52BB7" w:rsidP="00C52BB7">
      <w:pPr>
        <w:pStyle w:val="ListParagraph"/>
        <w:numPr>
          <w:ilvl w:val="0"/>
          <w:numId w:val="23"/>
        </w:numPr>
      </w:pPr>
      <w:r>
        <w:t xml:space="preserve">Within the large group or within each group, participants take turns reading a question, then offer their opinion on the most appropriate score and why.  </w:t>
      </w:r>
    </w:p>
    <w:p w14:paraId="14FF557A" w14:textId="77777777" w:rsidR="00C52BB7" w:rsidRDefault="00C52BB7" w:rsidP="00C52BB7">
      <w:pPr>
        <w:pStyle w:val="ListParagraph"/>
        <w:numPr>
          <w:ilvl w:val="0"/>
          <w:numId w:val="23"/>
        </w:numPr>
      </w:pPr>
      <w:r>
        <w:t xml:space="preserve">The other participants then offer their opinion on the department’s score.  </w:t>
      </w:r>
    </w:p>
    <w:p w14:paraId="0A273DA0" w14:textId="77777777" w:rsidR="00C52BB7" w:rsidRDefault="00C52BB7" w:rsidP="00C52BB7">
      <w:pPr>
        <w:pStyle w:val="ListParagraph"/>
        <w:numPr>
          <w:ilvl w:val="0"/>
          <w:numId w:val="23"/>
        </w:numPr>
      </w:pPr>
      <w:r>
        <w:t>After discussion and consideration, the group then comes to a consensus score, which is recorded.</w:t>
      </w:r>
    </w:p>
    <w:p w14:paraId="3F41F8F3" w14:textId="77777777" w:rsidR="00C52BB7" w:rsidRDefault="00C52BB7" w:rsidP="00C52BB7">
      <w:pPr>
        <w:pStyle w:val="ListParagraph"/>
        <w:numPr>
          <w:ilvl w:val="0"/>
          <w:numId w:val="23"/>
        </w:numPr>
      </w:pPr>
      <w:r>
        <w:t xml:space="preserve">The participants then briefly discuss possible action steps, which are also recorded, that would build on current capabilities and address current challenges/needs/deficiencies. </w:t>
      </w:r>
    </w:p>
    <w:p w14:paraId="2B347113" w14:textId="77777777" w:rsidR="00C52BB7" w:rsidRDefault="00C52BB7" w:rsidP="00C52BB7">
      <w:pPr>
        <w:pStyle w:val="ListParagraph"/>
        <w:numPr>
          <w:ilvl w:val="0"/>
          <w:numId w:val="23"/>
        </w:numPr>
      </w:pPr>
      <w:r>
        <w:t xml:space="preserve">You can optionally ask the group to indicate whether the proposed action step is a “quick win,” that is, achievable within a relatively short period of time or without significant resources, or a “major project” which would require both time, resources and commitment. </w:t>
      </w:r>
    </w:p>
    <w:p w14:paraId="7ACC2E8B" w14:textId="69DF00F4" w:rsidR="00C52BB7" w:rsidRDefault="00C52BB7" w:rsidP="00C52BB7">
      <w:pPr>
        <w:pStyle w:val="ListParagraph"/>
        <w:numPr>
          <w:ilvl w:val="0"/>
          <w:numId w:val="23"/>
        </w:numPr>
      </w:pPr>
      <w:r>
        <w:t xml:space="preserve">If using small groups, the note taker can optionally write down each action step on a separate, large self-sticking note that can be displayed during the large group review of the exercise. This </w:t>
      </w:r>
      <w:r>
        <w:lastRenderedPageBreak/>
        <w:t xml:space="preserve">allows for similar action steps to be grouped during the full group discussion at the end of the day. </w:t>
      </w:r>
    </w:p>
    <w:p w14:paraId="062291E5" w14:textId="36BD63F8" w:rsidR="00C52BB7" w:rsidRDefault="00097C59" w:rsidP="00097C59">
      <w:pPr>
        <w:pStyle w:val="Heading2"/>
      </w:pPr>
      <w:bookmarkStart w:id="18" w:name="_Toc1737532"/>
      <w:r>
        <w:t>Facilitator t</w:t>
      </w:r>
      <w:r w:rsidR="00C52BB7">
        <w:t>ips</w:t>
      </w:r>
      <w:bookmarkEnd w:id="18"/>
    </w:p>
    <w:p w14:paraId="229CCAFA" w14:textId="77777777" w:rsidR="00DA4814" w:rsidRDefault="00C52BB7" w:rsidP="00DA4814">
      <w:pPr>
        <w:pStyle w:val="ListParagraph"/>
        <w:numPr>
          <w:ilvl w:val="0"/>
          <w:numId w:val="24"/>
        </w:numPr>
      </w:pPr>
      <w:r>
        <w:t>The informatics-savvy health department self-assessment can be done at any level of the organization: across the entire health department or focused on a particular unit or program within it, such as infectious or chronic disease program staff or all surveillance-based program</w:t>
      </w:r>
      <w:r w:rsidR="00DA4814">
        <w:t>s across the health department.</w:t>
      </w:r>
      <w:r>
        <w:t xml:space="preserve"> The more comprehensive and inclusive your strategy when conducting the self-assessment, the richer the information and insights gained. This can be invaluable when developing an action plan or strategy roadmap.  </w:t>
      </w:r>
    </w:p>
    <w:p w14:paraId="4C24534B" w14:textId="77777777" w:rsidR="00C4187D" w:rsidRDefault="00C52BB7" w:rsidP="00C52BB7">
      <w:pPr>
        <w:pStyle w:val="ListParagraph"/>
        <w:numPr>
          <w:ilvl w:val="0"/>
          <w:numId w:val="24"/>
        </w:numPr>
      </w:pPr>
      <w:r>
        <w:t>The discussion across programs and staff is</w:t>
      </w:r>
      <w:r w:rsidR="00C4187D">
        <w:t xml:space="preserve"> the real value of the activity,</w:t>
      </w:r>
      <w:r>
        <w:t xml:space="preserve"> not the act of completing the assessment or achieving a certain score. Bringing program staff together from across the health department to discuss their information capabilities is both rare and highly valuable.</w:t>
      </w:r>
    </w:p>
    <w:p w14:paraId="3CC1C2F8" w14:textId="77777777" w:rsidR="00C4187D" w:rsidRDefault="00C4187D" w:rsidP="00C52BB7">
      <w:pPr>
        <w:pStyle w:val="ListParagraph"/>
        <w:numPr>
          <w:ilvl w:val="0"/>
          <w:numId w:val="24"/>
        </w:numPr>
      </w:pPr>
      <w:r>
        <w:t>Scores in the 1 and 2</w:t>
      </w:r>
      <w:r w:rsidR="00C52BB7">
        <w:t xml:space="preserve"> range are most common. In few industries do organi</w:t>
      </w:r>
      <w:r>
        <w:t>zations score much higher than 3</w:t>
      </w:r>
      <w:r w:rsidR="00C52BB7">
        <w:t xml:space="preserve"> when adopting new technologies or processes. </w:t>
      </w:r>
    </w:p>
    <w:p w14:paraId="00DB0C23" w14:textId="77777777" w:rsidR="00C4187D" w:rsidRDefault="00C52BB7" w:rsidP="00C52BB7">
      <w:pPr>
        <w:pStyle w:val="ListParagraph"/>
        <w:numPr>
          <w:ilvl w:val="0"/>
          <w:numId w:val="24"/>
        </w:numPr>
      </w:pPr>
      <w:r>
        <w:t xml:space="preserve">It is almost certain that different programs will have different capabilities. The Capability Maturity Model instructs to use the lowest score from the among programs /capabilities represented (the “weakest link” argument). </w:t>
      </w:r>
    </w:p>
    <w:p w14:paraId="2B6572C3" w14:textId="17F18E81" w:rsidR="00C52BB7" w:rsidRDefault="00C52BB7" w:rsidP="00C52BB7">
      <w:pPr>
        <w:pStyle w:val="ListParagraph"/>
        <w:numPr>
          <w:ilvl w:val="0"/>
          <w:numId w:val="24"/>
        </w:numPr>
      </w:pPr>
      <w:r>
        <w:t>The self-assessment can be done for a variety of purposes, including in preparing for national h</w:t>
      </w:r>
      <w:r w:rsidR="00515A31">
        <w:t>ealth department accreditation.</w:t>
      </w:r>
      <w:r>
        <w:t xml:space="preserve"> Others have used it to prepare for large system migrations that are being planned and executed.  Many agencies used it as resource for working toward a coordinated response to and readiness for the “Meaningful Use” program. All have used it because they realized they needed to do more if they were to achieve maximum value from their information as a strategic resource.</w:t>
      </w:r>
    </w:p>
    <w:p w14:paraId="523ADDC3" w14:textId="77777777" w:rsidR="00E02C07" w:rsidRDefault="00C52BB7" w:rsidP="00C52BB7">
      <w:pPr>
        <w:pStyle w:val="ListParagraph"/>
        <w:numPr>
          <w:ilvl w:val="0"/>
          <w:numId w:val="24"/>
        </w:numPr>
      </w:pPr>
      <w:r>
        <w:t>The downloadable self-assessment instrument has been well tested across a number of state and local health departments of all sizes nationally, representing varying levels</w:t>
      </w:r>
      <w:r w:rsidR="00BC2F57">
        <w:t xml:space="preserve"> of complexity and capability. </w:t>
      </w:r>
      <w:r>
        <w:t xml:space="preserve">However, you can certainly customize the instrument </w:t>
      </w:r>
      <w:r w:rsidR="00164FAB">
        <w:t xml:space="preserve">to meet your particular needs. </w:t>
      </w:r>
      <w:r>
        <w:t xml:space="preserve">For instance, you could combine a subset of questions from the informatics-savvy health department self-assessment and from the interoperability self-assessment (both are available at </w:t>
      </w:r>
      <w:hyperlink r:id="rId31" w:history="1">
        <w:r w:rsidR="00164FAB" w:rsidRPr="00C53174">
          <w:rPr>
            <w:rStyle w:val="Hyperlink"/>
          </w:rPr>
          <w:t>www.phii.org/infosavvy</w:t>
        </w:r>
      </w:hyperlink>
      <w:r w:rsidR="00164FAB">
        <w:t xml:space="preserve">). </w:t>
      </w:r>
      <w:r>
        <w:t>The risk of narrowing the self-assessment too much is that you lose the opportunity to identify challenges, deficiencies or other issues that you might not otherwise be aware of.</w:t>
      </w:r>
    </w:p>
    <w:p w14:paraId="54ECA540" w14:textId="77777777" w:rsidR="00E02C07" w:rsidRDefault="00C52BB7" w:rsidP="00C52BB7">
      <w:pPr>
        <w:pStyle w:val="ListParagraph"/>
        <w:numPr>
          <w:ilvl w:val="0"/>
          <w:numId w:val="24"/>
        </w:numPr>
      </w:pPr>
      <w:r>
        <w:t>The assessment could be planned for one day or spread over multiple days</w:t>
      </w:r>
      <w:r w:rsidR="00E02C07">
        <w:t>,</w:t>
      </w:r>
      <w:r>
        <w:t xml:space="preserve"> but scheduling it for one day, despite the greater logistical needs, is optimal given the advantages of conveying that this activity is a major event, worthy of their best efforts, and not something they will want to skip when the time comes. </w:t>
      </w:r>
    </w:p>
    <w:p w14:paraId="0B1F550E" w14:textId="0702907F" w:rsidR="00793628" w:rsidRDefault="00C52BB7" w:rsidP="00C52BB7">
      <w:pPr>
        <w:pStyle w:val="ListParagraph"/>
        <w:numPr>
          <w:ilvl w:val="0"/>
          <w:numId w:val="24"/>
        </w:numPr>
      </w:pPr>
      <w:r>
        <w:t>Perhaps the single most important success factor for your assessment event is to have senior leadership buy-in and executive sponsorship. Ideally, this will be someone with sufficient vision, authority and sense of urgency to see the project through to implementation, reducing any administrative or other barriers as they arise.</w:t>
      </w:r>
    </w:p>
    <w:p w14:paraId="086DFAFB" w14:textId="77777777" w:rsidR="00793628" w:rsidRDefault="00793628">
      <w:pPr>
        <w:suppressAutoHyphens w:val="0"/>
        <w:autoSpaceDE/>
        <w:autoSpaceDN/>
        <w:adjustRightInd/>
        <w:spacing w:after="160" w:line="259" w:lineRule="auto"/>
        <w:textAlignment w:val="auto"/>
      </w:pPr>
      <w:r>
        <w:br w:type="page"/>
      </w:r>
    </w:p>
    <w:p w14:paraId="08CBCCCC" w14:textId="3E329A6E" w:rsidR="00793628" w:rsidRDefault="00793628" w:rsidP="00793628">
      <w:pPr>
        <w:pStyle w:val="Heading1"/>
      </w:pPr>
      <w:bookmarkStart w:id="19" w:name="_Toc1737533"/>
      <w:r>
        <w:lastRenderedPageBreak/>
        <w:t>Communicating the results</w:t>
      </w:r>
      <w:bookmarkEnd w:id="19"/>
    </w:p>
    <w:p w14:paraId="0D7C5AEB" w14:textId="391D41BC" w:rsidR="00793628" w:rsidRDefault="00793628" w:rsidP="00793628">
      <w:r>
        <w:t>After the assessment, you will need to determine an optimal way to communicate the results. A written report sent to all participants, ideally within 1-3 weeks of the even</w:t>
      </w:r>
      <w:r w:rsidR="00896D42">
        <w:t>t</w:t>
      </w:r>
      <w:r>
        <w:t>, can reinforce momentum and interest. Headings for such a report might include:</w:t>
      </w:r>
    </w:p>
    <w:p w14:paraId="35E89630" w14:textId="77777777" w:rsidR="00360A62" w:rsidRDefault="00793628" w:rsidP="00793628">
      <w:pPr>
        <w:pStyle w:val="ListParagraph"/>
        <w:numPr>
          <w:ilvl w:val="0"/>
          <w:numId w:val="25"/>
        </w:numPr>
      </w:pPr>
      <w:r>
        <w:t>Executive summary (summarizing key points, the most important things to know)</w:t>
      </w:r>
    </w:p>
    <w:p w14:paraId="38ED6B05" w14:textId="77777777" w:rsidR="00360A62" w:rsidRDefault="00793628" w:rsidP="00793628">
      <w:pPr>
        <w:pStyle w:val="ListParagraph"/>
        <w:numPr>
          <w:ilvl w:val="0"/>
          <w:numId w:val="25"/>
        </w:numPr>
      </w:pPr>
      <w:r>
        <w:t>Background (why was the event held; when and where was it held).</w:t>
      </w:r>
    </w:p>
    <w:p w14:paraId="1B2D1D0A" w14:textId="77777777" w:rsidR="00360A62" w:rsidRDefault="00793628" w:rsidP="00793628">
      <w:pPr>
        <w:pStyle w:val="ListParagraph"/>
        <w:numPr>
          <w:ilvl w:val="0"/>
          <w:numId w:val="25"/>
        </w:numPr>
      </w:pPr>
      <w:r>
        <w:t>Approach (how was it organized; what was the process)</w:t>
      </w:r>
    </w:p>
    <w:p w14:paraId="6CBC7F4B" w14:textId="77777777" w:rsidR="00930D69" w:rsidRDefault="00793628" w:rsidP="00793628">
      <w:pPr>
        <w:pStyle w:val="ListParagraph"/>
        <w:numPr>
          <w:ilvl w:val="0"/>
          <w:numId w:val="25"/>
        </w:numPr>
      </w:pPr>
      <w:r>
        <w:t xml:space="preserve">Results (what were the self-assessment questions; how did each score; what key action steps were identified for each or overall; how did action steps </w:t>
      </w:r>
      <w:r w:rsidR="00360A62">
        <w:t>cluster into larger categories [if done]</w:t>
      </w:r>
      <w:r>
        <w:t>)</w:t>
      </w:r>
    </w:p>
    <w:p w14:paraId="2440524C" w14:textId="77777777" w:rsidR="00930D69" w:rsidRDefault="00930D69" w:rsidP="00793628">
      <w:pPr>
        <w:pStyle w:val="ListParagraph"/>
        <w:numPr>
          <w:ilvl w:val="0"/>
          <w:numId w:val="25"/>
        </w:numPr>
      </w:pPr>
      <w:r>
        <w:t>Discussion and r</w:t>
      </w:r>
      <w:r w:rsidR="00793628">
        <w:t>ecommendations (what were the key insights, ideas, suggestions, challenges; where did programs realize they had a lot in common; how did this activity change perspectives)</w:t>
      </w:r>
    </w:p>
    <w:p w14:paraId="3EA75703" w14:textId="77777777" w:rsidR="00930D69" w:rsidRDefault="00793628" w:rsidP="00793628">
      <w:pPr>
        <w:pStyle w:val="ListParagraph"/>
        <w:numPr>
          <w:ilvl w:val="0"/>
          <w:numId w:val="25"/>
        </w:numPr>
      </w:pPr>
      <w:r>
        <w:t>Next steps (who will do what)</w:t>
      </w:r>
    </w:p>
    <w:p w14:paraId="75EFAE67" w14:textId="57E54EEC" w:rsidR="00C52BB7" w:rsidRDefault="00144CDD" w:rsidP="00793628">
      <w:pPr>
        <w:pStyle w:val="ListParagraph"/>
        <w:numPr>
          <w:ilvl w:val="0"/>
          <w:numId w:val="25"/>
        </w:numPr>
      </w:pPr>
      <w:r>
        <w:t xml:space="preserve"> </w:t>
      </w:r>
      <w:r w:rsidR="00793628">
        <w:t>Appendices (who participated; what resources were identified to help guide next steps)</w:t>
      </w:r>
    </w:p>
    <w:p w14:paraId="1311A255" w14:textId="66FAF7D5" w:rsidR="00144CDD" w:rsidRDefault="00144CDD">
      <w:pPr>
        <w:suppressAutoHyphens w:val="0"/>
        <w:autoSpaceDE/>
        <w:autoSpaceDN/>
        <w:adjustRightInd/>
        <w:spacing w:after="160" w:line="259" w:lineRule="auto"/>
        <w:textAlignment w:val="auto"/>
      </w:pPr>
      <w:r>
        <w:br w:type="page"/>
      </w:r>
    </w:p>
    <w:p w14:paraId="450295DF" w14:textId="446FC369" w:rsidR="00144CDD" w:rsidRDefault="00144CDD" w:rsidP="00144CDD">
      <w:pPr>
        <w:pStyle w:val="Heading1"/>
      </w:pPr>
      <w:bookmarkStart w:id="20" w:name="_Toc1737534"/>
      <w:r w:rsidRPr="00144CDD">
        <w:lastRenderedPageBreak/>
        <w:t>Appendix</w:t>
      </w:r>
      <w:r>
        <w:t>: additional resources</w:t>
      </w:r>
      <w:bookmarkEnd w:id="20"/>
    </w:p>
    <w:p w14:paraId="0EA874A1" w14:textId="740E0731" w:rsidR="00144CDD" w:rsidRDefault="00144CDD" w:rsidP="00144CDD">
      <w:pPr>
        <w:pStyle w:val="Heading2"/>
      </w:pPr>
      <w:bookmarkStart w:id="21" w:name="_Toc1737535"/>
      <w:r w:rsidRPr="00144CDD">
        <w:t>Resources on the informatics-savvy website</w:t>
      </w:r>
      <w:bookmarkEnd w:id="21"/>
    </w:p>
    <w:p w14:paraId="02991B0C" w14:textId="77777777" w:rsidR="00144CDD" w:rsidRDefault="00144CDD" w:rsidP="00144CDD">
      <w:pPr>
        <w:pStyle w:val="ListParagraph"/>
        <w:numPr>
          <w:ilvl w:val="0"/>
          <w:numId w:val="26"/>
        </w:numPr>
      </w:pPr>
      <w:r>
        <w:t>Informatics-savvy Health Department Self-Assessment Tool</w:t>
      </w:r>
    </w:p>
    <w:p w14:paraId="5A84FD21" w14:textId="77777777" w:rsidR="00144CDD" w:rsidRDefault="00144CDD" w:rsidP="00144CDD">
      <w:pPr>
        <w:pStyle w:val="ListParagraph"/>
        <w:numPr>
          <w:ilvl w:val="0"/>
          <w:numId w:val="26"/>
        </w:numPr>
      </w:pPr>
      <w:r>
        <w:t>Interoperability Self-Assessment Tool</w:t>
      </w:r>
    </w:p>
    <w:p w14:paraId="344E583D" w14:textId="77777777" w:rsidR="00144CDD" w:rsidRDefault="00144CDD" w:rsidP="00144CDD">
      <w:pPr>
        <w:pStyle w:val="ListParagraph"/>
        <w:numPr>
          <w:ilvl w:val="0"/>
          <w:numId w:val="26"/>
        </w:numPr>
      </w:pPr>
      <w:r>
        <w:t>Sample slide deck for introducing the informatics-savvy health department self-assessment tool</w:t>
      </w:r>
    </w:p>
    <w:p w14:paraId="18501006" w14:textId="77777777" w:rsidR="00144CDD" w:rsidRDefault="00144CDD" w:rsidP="00144CDD">
      <w:pPr>
        <w:pStyle w:val="ListParagraph"/>
        <w:numPr>
          <w:ilvl w:val="0"/>
          <w:numId w:val="26"/>
        </w:numPr>
      </w:pPr>
      <w:r>
        <w:t>Guidance on developing a strategic informatics roadmap</w:t>
      </w:r>
    </w:p>
    <w:p w14:paraId="4FA35C46" w14:textId="77777777" w:rsidR="00144CDD" w:rsidRDefault="00144CDD" w:rsidP="00144CDD">
      <w:pPr>
        <w:pStyle w:val="ListParagraph"/>
        <w:numPr>
          <w:ilvl w:val="0"/>
          <w:numId w:val="26"/>
        </w:numPr>
      </w:pPr>
      <w:r>
        <w:t>Guidance on information governance in a health department</w:t>
      </w:r>
    </w:p>
    <w:p w14:paraId="47FBF2E3" w14:textId="77777777" w:rsidR="00144CDD" w:rsidRDefault="00144CDD" w:rsidP="00144CDD">
      <w:pPr>
        <w:pStyle w:val="ListParagraph"/>
        <w:numPr>
          <w:ilvl w:val="0"/>
          <w:numId w:val="26"/>
        </w:numPr>
      </w:pPr>
      <w:r>
        <w:t xml:space="preserve">Key considerations for establishing an informatics office </w:t>
      </w:r>
    </w:p>
    <w:p w14:paraId="082C22E1" w14:textId="5C851E74" w:rsidR="005A157D" w:rsidRDefault="00144CDD" w:rsidP="005A157D">
      <w:pPr>
        <w:pStyle w:val="ListParagraph"/>
        <w:numPr>
          <w:ilvl w:val="0"/>
          <w:numId w:val="26"/>
        </w:numPr>
        <w:sectPr w:rsidR="005A157D" w:rsidSect="0091615E">
          <w:type w:val="continuous"/>
          <w:pgSz w:w="12240" w:h="15840"/>
          <w:pgMar w:top="1440" w:right="1440" w:bottom="1080" w:left="1440" w:header="720" w:footer="720" w:gutter="0"/>
          <w:pgNumType w:start="2"/>
          <w:cols w:space="720"/>
          <w:noEndnote/>
          <w:titlePg/>
          <w:docGrid w:linePitch="299"/>
        </w:sectPr>
      </w:pPr>
      <w:r>
        <w:t>A series of Journal of Public Health Management and Practice articles on creating an informatics-savvy health department.</w:t>
      </w:r>
    </w:p>
    <w:p w14:paraId="7701B225" w14:textId="295E00C3" w:rsidR="00144CDD" w:rsidRDefault="00F62681" w:rsidP="00F62681">
      <w:pPr>
        <w:pStyle w:val="Heading2"/>
      </w:pPr>
      <w:bookmarkStart w:id="22" w:name="_Toc1737536"/>
      <w:r w:rsidRPr="0053700E">
        <w:lastRenderedPageBreak/>
        <w:t>Sample score sheets</w:t>
      </w:r>
      <w:bookmarkEnd w:id="22"/>
    </w:p>
    <w:p w14:paraId="787C6152" w14:textId="14B4DE64" w:rsidR="00F20560" w:rsidRDefault="00F20560" w:rsidP="00F20560">
      <w:pPr>
        <w:pStyle w:val="Heading4"/>
        <w:rPr>
          <w:rStyle w:val="MakeLight"/>
          <w:b/>
          <w:i w:val="0"/>
          <w:sz w:val="44"/>
          <w:szCs w:val="36"/>
        </w:rPr>
      </w:pPr>
      <w:r>
        <w:rPr>
          <w:b/>
          <w:i w:val="0"/>
          <w:sz w:val="28"/>
        </w:rPr>
        <w:t>Building an informatics-savvy health d</w:t>
      </w:r>
      <w:r w:rsidRPr="00F20560">
        <w:rPr>
          <w:b/>
          <w:i w:val="0"/>
          <w:sz w:val="28"/>
        </w:rPr>
        <w:t>epartment</w:t>
      </w:r>
      <w:r w:rsidRPr="00F20560">
        <w:rPr>
          <w:rStyle w:val="MakeLight"/>
          <w:b/>
          <w:i w:val="0"/>
          <w:sz w:val="44"/>
          <w:szCs w:val="36"/>
        </w:rPr>
        <w:t xml:space="preserve"> </w:t>
      </w:r>
    </w:p>
    <w:p w14:paraId="43D7A852" w14:textId="6AE5CC54" w:rsidR="00F20560" w:rsidRPr="00F20560" w:rsidRDefault="00F20560" w:rsidP="00F20560">
      <w:pPr>
        <w:rPr>
          <w:rFonts w:asciiTheme="majorHAnsi" w:hAnsiTheme="majorHAnsi" w:cstheme="majorHAnsi"/>
          <w:b/>
          <w:sz w:val="24"/>
        </w:rPr>
      </w:pPr>
      <w:r w:rsidRPr="00F20560">
        <w:rPr>
          <w:rFonts w:asciiTheme="majorHAnsi" w:hAnsiTheme="majorHAnsi" w:cstheme="majorHAnsi"/>
          <w:b/>
          <w:sz w:val="24"/>
        </w:rPr>
        <w:t>Informatics vision and strategy self-assessment tool worksheet</w:t>
      </w:r>
    </w:p>
    <w:tbl>
      <w:tblPr>
        <w:tblStyle w:val="TableGrid"/>
        <w:tblW w:w="13495" w:type="dxa"/>
        <w:tblLook w:val="04A0" w:firstRow="1" w:lastRow="0" w:firstColumn="1" w:lastColumn="0" w:noHBand="0" w:noVBand="1"/>
      </w:tblPr>
      <w:tblGrid>
        <w:gridCol w:w="2878"/>
        <w:gridCol w:w="2697"/>
        <w:gridCol w:w="2790"/>
        <w:gridCol w:w="5130"/>
      </w:tblGrid>
      <w:tr w:rsidR="00F20560" w14:paraId="512CAF3F" w14:textId="77777777" w:rsidTr="000F6066">
        <w:trPr>
          <w:trHeight w:val="575"/>
          <w:tblHeader/>
        </w:trPr>
        <w:tc>
          <w:tcPr>
            <w:tcW w:w="2878" w:type="dxa"/>
            <w:shd w:val="clear" w:color="auto" w:fill="5C8CB6"/>
          </w:tcPr>
          <w:p w14:paraId="56483798" w14:textId="77777777" w:rsidR="00F20560" w:rsidRPr="000F6066" w:rsidRDefault="00F20560" w:rsidP="004F2449">
            <w:pPr>
              <w:pStyle w:val="Heading3"/>
              <w:spacing w:before="120"/>
              <w:outlineLvl w:val="2"/>
              <w:rPr>
                <w:rFonts w:asciiTheme="minorHAnsi" w:hAnsiTheme="minorHAnsi" w:cstheme="minorHAnsi"/>
                <w:b/>
                <w:color w:val="FFFFFF" w:themeColor="background1"/>
                <w:sz w:val="28"/>
                <w:szCs w:val="28"/>
              </w:rPr>
            </w:pPr>
            <w:bookmarkStart w:id="23" w:name="_Toc1737537"/>
            <w:r w:rsidRPr="000F6066">
              <w:rPr>
                <w:rFonts w:asciiTheme="minorHAnsi" w:hAnsiTheme="minorHAnsi" w:cstheme="minorHAnsi"/>
                <w:b/>
                <w:color w:val="FFFFFF" w:themeColor="background1"/>
                <w:sz w:val="28"/>
                <w:szCs w:val="28"/>
              </w:rPr>
              <w:t>Question</w:t>
            </w:r>
            <w:bookmarkEnd w:id="23"/>
            <w:r w:rsidRPr="000F6066">
              <w:rPr>
                <w:rFonts w:asciiTheme="minorHAnsi" w:hAnsiTheme="minorHAnsi" w:cstheme="minorHAnsi"/>
                <w:b/>
                <w:color w:val="FFFFFF" w:themeColor="background1"/>
                <w:sz w:val="28"/>
                <w:szCs w:val="28"/>
              </w:rPr>
              <w:t xml:space="preserve"> </w:t>
            </w:r>
          </w:p>
        </w:tc>
        <w:tc>
          <w:tcPr>
            <w:tcW w:w="2697" w:type="dxa"/>
            <w:shd w:val="clear" w:color="auto" w:fill="5C8CB6"/>
          </w:tcPr>
          <w:p w14:paraId="2B899E4F" w14:textId="58580A13" w:rsidR="00F20560" w:rsidRPr="000F6066" w:rsidRDefault="006D027C" w:rsidP="004F2449">
            <w:pPr>
              <w:pStyle w:val="Heading3"/>
              <w:spacing w:before="120"/>
              <w:outlineLvl w:val="2"/>
              <w:rPr>
                <w:rFonts w:asciiTheme="minorHAnsi" w:hAnsiTheme="minorHAnsi" w:cstheme="minorHAnsi"/>
                <w:b/>
                <w:color w:val="FFFFFF" w:themeColor="background1"/>
                <w:sz w:val="28"/>
                <w:szCs w:val="28"/>
              </w:rPr>
            </w:pPr>
            <w:bookmarkStart w:id="24" w:name="_Toc1737538"/>
            <w:r>
              <w:rPr>
                <w:rFonts w:asciiTheme="minorHAnsi" w:hAnsiTheme="minorHAnsi" w:cstheme="minorHAnsi"/>
                <w:b/>
                <w:color w:val="FFFFFF" w:themeColor="background1"/>
                <w:sz w:val="28"/>
                <w:szCs w:val="28"/>
              </w:rPr>
              <w:t>Individual s</w:t>
            </w:r>
            <w:r w:rsidR="00F20560" w:rsidRPr="000F6066">
              <w:rPr>
                <w:rFonts w:asciiTheme="minorHAnsi" w:hAnsiTheme="minorHAnsi" w:cstheme="minorHAnsi"/>
                <w:b/>
                <w:color w:val="FFFFFF" w:themeColor="background1"/>
                <w:sz w:val="28"/>
                <w:szCs w:val="28"/>
              </w:rPr>
              <w:t>cores</w:t>
            </w:r>
            <w:bookmarkEnd w:id="24"/>
          </w:p>
        </w:tc>
        <w:tc>
          <w:tcPr>
            <w:tcW w:w="2790" w:type="dxa"/>
            <w:shd w:val="clear" w:color="auto" w:fill="5C8CB6"/>
          </w:tcPr>
          <w:p w14:paraId="598B04B4" w14:textId="1AA63DEB" w:rsidR="00F20560" w:rsidRPr="000F6066" w:rsidRDefault="006D027C" w:rsidP="004F2449">
            <w:pPr>
              <w:pStyle w:val="Heading3"/>
              <w:spacing w:before="120"/>
              <w:outlineLvl w:val="2"/>
              <w:rPr>
                <w:rFonts w:asciiTheme="minorHAnsi" w:hAnsiTheme="minorHAnsi" w:cstheme="minorHAnsi"/>
                <w:b/>
                <w:color w:val="FFFFFF" w:themeColor="background1"/>
                <w:sz w:val="28"/>
                <w:szCs w:val="28"/>
              </w:rPr>
            </w:pPr>
            <w:bookmarkStart w:id="25" w:name="_Toc1737539"/>
            <w:r>
              <w:rPr>
                <w:rFonts w:asciiTheme="minorHAnsi" w:hAnsiTheme="minorHAnsi" w:cstheme="minorHAnsi"/>
                <w:b/>
                <w:color w:val="FFFFFF" w:themeColor="background1"/>
                <w:sz w:val="28"/>
                <w:szCs w:val="28"/>
              </w:rPr>
              <w:t>Consensus s</w:t>
            </w:r>
            <w:r w:rsidR="00F20560" w:rsidRPr="000F6066">
              <w:rPr>
                <w:rFonts w:asciiTheme="minorHAnsi" w:hAnsiTheme="minorHAnsi" w:cstheme="minorHAnsi"/>
                <w:b/>
                <w:color w:val="FFFFFF" w:themeColor="background1"/>
                <w:sz w:val="28"/>
                <w:szCs w:val="28"/>
              </w:rPr>
              <w:t>core</w:t>
            </w:r>
            <w:bookmarkEnd w:id="25"/>
          </w:p>
        </w:tc>
        <w:tc>
          <w:tcPr>
            <w:tcW w:w="5130" w:type="dxa"/>
            <w:shd w:val="clear" w:color="auto" w:fill="5C8CB6"/>
          </w:tcPr>
          <w:p w14:paraId="45405C96" w14:textId="77777777" w:rsidR="00F20560" w:rsidRPr="000F6066" w:rsidRDefault="00F20560" w:rsidP="004F2449">
            <w:pPr>
              <w:pStyle w:val="Heading3"/>
              <w:spacing w:before="120"/>
              <w:outlineLvl w:val="2"/>
              <w:rPr>
                <w:rFonts w:asciiTheme="minorHAnsi" w:hAnsiTheme="minorHAnsi" w:cstheme="minorHAnsi"/>
                <w:b/>
                <w:color w:val="FFFFFF" w:themeColor="background1"/>
                <w:sz w:val="28"/>
                <w:szCs w:val="28"/>
              </w:rPr>
            </w:pPr>
            <w:bookmarkStart w:id="26" w:name="_Toc1737540"/>
            <w:r w:rsidRPr="000F6066">
              <w:rPr>
                <w:rFonts w:asciiTheme="minorHAnsi" w:hAnsiTheme="minorHAnsi" w:cstheme="minorHAnsi"/>
                <w:b/>
                <w:color w:val="FFFFFF" w:themeColor="background1"/>
                <w:sz w:val="28"/>
                <w:szCs w:val="28"/>
              </w:rPr>
              <w:t>Actions</w:t>
            </w:r>
            <w:bookmarkEnd w:id="26"/>
          </w:p>
        </w:tc>
      </w:tr>
      <w:tr w:rsidR="00F20560" w14:paraId="34BAD91A" w14:textId="77777777" w:rsidTr="004F2449">
        <w:trPr>
          <w:trHeight w:val="1673"/>
        </w:trPr>
        <w:tc>
          <w:tcPr>
            <w:tcW w:w="2878" w:type="dxa"/>
          </w:tcPr>
          <w:p w14:paraId="3A4BEC0A" w14:textId="7707F336" w:rsidR="00F20560" w:rsidRPr="000F6066" w:rsidRDefault="00A0430B" w:rsidP="004F2449">
            <w:pPr>
              <w:rPr>
                <w:sz w:val="20"/>
                <w:szCs w:val="20"/>
              </w:rPr>
            </w:pPr>
            <w:r w:rsidRPr="00A0430B">
              <w:rPr>
                <w:b/>
                <w:sz w:val="20"/>
                <w:szCs w:val="20"/>
              </w:rPr>
              <w:t>Question 1.1</w:t>
            </w:r>
            <w:r>
              <w:rPr>
                <w:sz w:val="20"/>
                <w:szCs w:val="20"/>
              </w:rPr>
              <w:t xml:space="preserve"> Vision and s</w:t>
            </w:r>
            <w:r w:rsidR="00F20560" w:rsidRPr="000F6066">
              <w:rPr>
                <w:sz w:val="20"/>
                <w:szCs w:val="20"/>
              </w:rPr>
              <w:t xml:space="preserve">trategy </w:t>
            </w:r>
          </w:p>
        </w:tc>
        <w:tc>
          <w:tcPr>
            <w:tcW w:w="2697" w:type="dxa"/>
          </w:tcPr>
          <w:p w14:paraId="0DAB018B" w14:textId="77777777" w:rsidR="00F20560" w:rsidRPr="000F6066" w:rsidRDefault="00F20560" w:rsidP="004F2449">
            <w:pPr>
              <w:rPr>
                <w:sz w:val="20"/>
                <w:szCs w:val="20"/>
              </w:rPr>
            </w:pPr>
          </w:p>
        </w:tc>
        <w:tc>
          <w:tcPr>
            <w:tcW w:w="2790" w:type="dxa"/>
          </w:tcPr>
          <w:p w14:paraId="7466F707" w14:textId="77777777" w:rsidR="00F20560" w:rsidRDefault="00F20560" w:rsidP="004F2449"/>
        </w:tc>
        <w:tc>
          <w:tcPr>
            <w:tcW w:w="5130" w:type="dxa"/>
          </w:tcPr>
          <w:p w14:paraId="2D1FB6F6" w14:textId="77777777" w:rsidR="00F20560" w:rsidRDefault="00F20560" w:rsidP="004F2449"/>
        </w:tc>
      </w:tr>
      <w:tr w:rsidR="00F20560" w14:paraId="2133B8D9" w14:textId="77777777" w:rsidTr="004F2449">
        <w:trPr>
          <w:trHeight w:val="1421"/>
        </w:trPr>
        <w:tc>
          <w:tcPr>
            <w:tcW w:w="2878" w:type="dxa"/>
          </w:tcPr>
          <w:p w14:paraId="7F279D33" w14:textId="4637CBA0" w:rsidR="00F20560" w:rsidRPr="000F6066" w:rsidRDefault="00F20560" w:rsidP="004F2449">
            <w:pPr>
              <w:rPr>
                <w:sz w:val="20"/>
                <w:szCs w:val="20"/>
              </w:rPr>
            </w:pPr>
            <w:r w:rsidRPr="00A0430B">
              <w:rPr>
                <w:b/>
                <w:sz w:val="20"/>
                <w:szCs w:val="20"/>
              </w:rPr>
              <w:t>Question 1.2</w:t>
            </w:r>
            <w:r w:rsidR="00A0430B">
              <w:rPr>
                <w:sz w:val="20"/>
                <w:szCs w:val="20"/>
              </w:rPr>
              <w:t xml:space="preserve"> Information assets and n</w:t>
            </w:r>
            <w:r w:rsidRPr="000F6066">
              <w:rPr>
                <w:sz w:val="20"/>
                <w:szCs w:val="20"/>
              </w:rPr>
              <w:t>eeds</w:t>
            </w:r>
          </w:p>
          <w:p w14:paraId="2DC696CE" w14:textId="77777777" w:rsidR="00F20560" w:rsidRPr="000F6066" w:rsidRDefault="00F20560" w:rsidP="004F2449">
            <w:pPr>
              <w:rPr>
                <w:sz w:val="20"/>
                <w:szCs w:val="20"/>
              </w:rPr>
            </w:pPr>
          </w:p>
          <w:p w14:paraId="36941841" w14:textId="77777777" w:rsidR="00F20560" w:rsidRPr="000F6066" w:rsidRDefault="00F20560" w:rsidP="004F2449">
            <w:pPr>
              <w:rPr>
                <w:sz w:val="20"/>
                <w:szCs w:val="20"/>
              </w:rPr>
            </w:pPr>
          </w:p>
          <w:p w14:paraId="6A735106" w14:textId="77777777" w:rsidR="00F20560" w:rsidRPr="000F6066" w:rsidRDefault="00F20560" w:rsidP="004F2449">
            <w:pPr>
              <w:rPr>
                <w:sz w:val="20"/>
                <w:szCs w:val="20"/>
              </w:rPr>
            </w:pPr>
          </w:p>
          <w:p w14:paraId="64F84418" w14:textId="77777777" w:rsidR="00F20560" w:rsidRPr="000F6066" w:rsidRDefault="00F20560" w:rsidP="004F2449">
            <w:pPr>
              <w:rPr>
                <w:sz w:val="20"/>
                <w:szCs w:val="20"/>
              </w:rPr>
            </w:pPr>
          </w:p>
          <w:p w14:paraId="235942A8" w14:textId="77777777" w:rsidR="00F20560" w:rsidRPr="000F6066" w:rsidRDefault="00F20560" w:rsidP="004F2449">
            <w:pPr>
              <w:rPr>
                <w:sz w:val="20"/>
                <w:szCs w:val="20"/>
              </w:rPr>
            </w:pPr>
          </w:p>
          <w:p w14:paraId="325EFD20" w14:textId="77777777" w:rsidR="00F20560" w:rsidRPr="000F6066" w:rsidRDefault="00F20560" w:rsidP="004F2449">
            <w:pPr>
              <w:rPr>
                <w:sz w:val="20"/>
                <w:szCs w:val="20"/>
              </w:rPr>
            </w:pPr>
          </w:p>
        </w:tc>
        <w:tc>
          <w:tcPr>
            <w:tcW w:w="2697" w:type="dxa"/>
          </w:tcPr>
          <w:p w14:paraId="01218327" w14:textId="77777777" w:rsidR="00F20560" w:rsidRPr="000F6066" w:rsidRDefault="00F20560" w:rsidP="004F2449">
            <w:pPr>
              <w:rPr>
                <w:sz w:val="20"/>
                <w:szCs w:val="20"/>
              </w:rPr>
            </w:pPr>
          </w:p>
        </w:tc>
        <w:tc>
          <w:tcPr>
            <w:tcW w:w="2790" w:type="dxa"/>
          </w:tcPr>
          <w:p w14:paraId="7DB1306D" w14:textId="77777777" w:rsidR="00F20560" w:rsidRDefault="00F20560" w:rsidP="004F2449"/>
        </w:tc>
        <w:tc>
          <w:tcPr>
            <w:tcW w:w="5130" w:type="dxa"/>
          </w:tcPr>
          <w:p w14:paraId="119BCDD2" w14:textId="77777777" w:rsidR="00F20560" w:rsidRDefault="00F20560" w:rsidP="004F2449"/>
        </w:tc>
      </w:tr>
      <w:tr w:rsidR="00F20560" w14:paraId="13717963" w14:textId="77777777" w:rsidTr="000F6066">
        <w:trPr>
          <w:trHeight w:val="2492"/>
        </w:trPr>
        <w:tc>
          <w:tcPr>
            <w:tcW w:w="2878" w:type="dxa"/>
          </w:tcPr>
          <w:p w14:paraId="58472237" w14:textId="5515DB56" w:rsidR="00F20560" w:rsidRPr="000F6066" w:rsidRDefault="00A0430B" w:rsidP="004F2449">
            <w:pPr>
              <w:rPr>
                <w:sz w:val="20"/>
                <w:szCs w:val="20"/>
              </w:rPr>
            </w:pPr>
            <w:r w:rsidRPr="00A0430B">
              <w:rPr>
                <w:b/>
                <w:sz w:val="20"/>
                <w:szCs w:val="20"/>
              </w:rPr>
              <w:t>Question 1.3</w:t>
            </w:r>
            <w:r>
              <w:rPr>
                <w:sz w:val="20"/>
                <w:szCs w:val="20"/>
              </w:rPr>
              <w:t xml:space="preserve"> Governance p</w:t>
            </w:r>
            <w:r w:rsidR="00F20560" w:rsidRPr="000F6066">
              <w:rPr>
                <w:sz w:val="20"/>
                <w:szCs w:val="20"/>
              </w:rPr>
              <w:t>rocess</w:t>
            </w:r>
          </w:p>
        </w:tc>
        <w:tc>
          <w:tcPr>
            <w:tcW w:w="2697" w:type="dxa"/>
          </w:tcPr>
          <w:p w14:paraId="3BF87976" w14:textId="77777777" w:rsidR="00F20560" w:rsidRPr="000F6066" w:rsidRDefault="00F20560" w:rsidP="004F2449">
            <w:pPr>
              <w:rPr>
                <w:sz w:val="20"/>
                <w:szCs w:val="20"/>
              </w:rPr>
            </w:pPr>
          </w:p>
        </w:tc>
        <w:tc>
          <w:tcPr>
            <w:tcW w:w="2790" w:type="dxa"/>
          </w:tcPr>
          <w:p w14:paraId="465889C5" w14:textId="77777777" w:rsidR="00F20560" w:rsidRDefault="00F20560" w:rsidP="004F2449"/>
        </w:tc>
        <w:tc>
          <w:tcPr>
            <w:tcW w:w="5130" w:type="dxa"/>
          </w:tcPr>
          <w:p w14:paraId="4DAA259B" w14:textId="77777777" w:rsidR="00F20560" w:rsidRDefault="00F20560" w:rsidP="004F2449"/>
        </w:tc>
      </w:tr>
      <w:tr w:rsidR="00F20560" w14:paraId="5828282A" w14:textId="77777777" w:rsidTr="000F6066">
        <w:trPr>
          <w:trHeight w:val="1898"/>
        </w:trPr>
        <w:tc>
          <w:tcPr>
            <w:tcW w:w="2878" w:type="dxa"/>
          </w:tcPr>
          <w:p w14:paraId="034A88C9" w14:textId="2682AFE8" w:rsidR="00F20560" w:rsidRPr="000F6066" w:rsidRDefault="00A0430B" w:rsidP="004F2449">
            <w:pPr>
              <w:rPr>
                <w:sz w:val="20"/>
                <w:szCs w:val="20"/>
              </w:rPr>
            </w:pPr>
            <w:r w:rsidRPr="00A0430B">
              <w:rPr>
                <w:b/>
                <w:sz w:val="20"/>
                <w:szCs w:val="20"/>
              </w:rPr>
              <w:lastRenderedPageBreak/>
              <w:t>Question 1.4</w:t>
            </w:r>
            <w:r>
              <w:rPr>
                <w:sz w:val="20"/>
                <w:szCs w:val="20"/>
              </w:rPr>
              <w:t xml:space="preserve"> Funding p</w:t>
            </w:r>
            <w:r w:rsidR="00F20560" w:rsidRPr="000F6066">
              <w:rPr>
                <w:sz w:val="20"/>
                <w:szCs w:val="20"/>
              </w:rPr>
              <w:t>lan</w:t>
            </w:r>
          </w:p>
          <w:p w14:paraId="5D6E34E0" w14:textId="77777777" w:rsidR="00F20560" w:rsidRPr="000F6066" w:rsidRDefault="00F20560" w:rsidP="004F2449">
            <w:pPr>
              <w:rPr>
                <w:sz w:val="20"/>
                <w:szCs w:val="20"/>
              </w:rPr>
            </w:pPr>
          </w:p>
          <w:p w14:paraId="67EF5582" w14:textId="77777777" w:rsidR="00F20560" w:rsidRPr="000F6066" w:rsidRDefault="00F20560" w:rsidP="004F2449">
            <w:pPr>
              <w:rPr>
                <w:sz w:val="20"/>
                <w:szCs w:val="20"/>
              </w:rPr>
            </w:pPr>
          </w:p>
          <w:p w14:paraId="61D927C2" w14:textId="1F37DCD8" w:rsidR="00F20560" w:rsidRPr="000F6066" w:rsidRDefault="00F20560" w:rsidP="004F2449">
            <w:pPr>
              <w:rPr>
                <w:sz w:val="20"/>
                <w:szCs w:val="20"/>
              </w:rPr>
            </w:pPr>
          </w:p>
        </w:tc>
        <w:tc>
          <w:tcPr>
            <w:tcW w:w="2697" w:type="dxa"/>
          </w:tcPr>
          <w:p w14:paraId="62D72314" w14:textId="77777777" w:rsidR="00F20560" w:rsidRPr="000F6066" w:rsidRDefault="00F20560" w:rsidP="004F2449">
            <w:pPr>
              <w:rPr>
                <w:sz w:val="20"/>
                <w:szCs w:val="20"/>
              </w:rPr>
            </w:pPr>
          </w:p>
        </w:tc>
        <w:tc>
          <w:tcPr>
            <w:tcW w:w="2790" w:type="dxa"/>
          </w:tcPr>
          <w:p w14:paraId="72699BCA" w14:textId="77777777" w:rsidR="00F20560" w:rsidRDefault="00F20560" w:rsidP="004F2449"/>
        </w:tc>
        <w:tc>
          <w:tcPr>
            <w:tcW w:w="5130" w:type="dxa"/>
          </w:tcPr>
          <w:p w14:paraId="588A994E" w14:textId="77777777" w:rsidR="00F20560" w:rsidRDefault="00F20560" w:rsidP="004F2449"/>
        </w:tc>
      </w:tr>
      <w:tr w:rsidR="000F6066" w14:paraId="127B5D9F" w14:textId="77777777" w:rsidTr="000F6066">
        <w:trPr>
          <w:trHeight w:val="1898"/>
        </w:trPr>
        <w:tc>
          <w:tcPr>
            <w:tcW w:w="2878" w:type="dxa"/>
          </w:tcPr>
          <w:p w14:paraId="614394D6" w14:textId="42837D6A" w:rsidR="000F6066" w:rsidRPr="000F6066" w:rsidRDefault="000F6066" w:rsidP="000F6066">
            <w:pPr>
              <w:rPr>
                <w:sz w:val="20"/>
                <w:szCs w:val="20"/>
              </w:rPr>
            </w:pPr>
            <w:r w:rsidRPr="00A0430B">
              <w:rPr>
                <w:b/>
                <w:sz w:val="20"/>
                <w:szCs w:val="20"/>
              </w:rPr>
              <w:t>Question 1.5</w:t>
            </w:r>
            <w:r w:rsidR="00A0430B">
              <w:rPr>
                <w:sz w:val="20"/>
                <w:szCs w:val="20"/>
              </w:rPr>
              <w:t xml:space="preserve"> Stakeholder engagement (internal p</w:t>
            </w:r>
            <w:r w:rsidRPr="000F6066">
              <w:rPr>
                <w:sz w:val="20"/>
                <w:szCs w:val="20"/>
              </w:rPr>
              <w:t>artners)</w:t>
            </w:r>
          </w:p>
          <w:p w14:paraId="78B1AEE7" w14:textId="77777777" w:rsidR="000F6066" w:rsidRPr="000F6066" w:rsidRDefault="000F6066" w:rsidP="000F6066">
            <w:pPr>
              <w:rPr>
                <w:sz w:val="20"/>
                <w:szCs w:val="20"/>
              </w:rPr>
            </w:pPr>
          </w:p>
          <w:p w14:paraId="538FD9F7" w14:textId="77777777" w:rsidR="000F6066" w:rsidRPr="000F6066" w:rsidRDefault="000F6066" w:rsidP="000F6066">
            <w:pPr>
              <w:rPr>
                <w:sz w:val="20"/>
                <w:szCs w:val="20"/>
              </w:rPr>
            </w:pPr>
          </w:p>
          <w:p w14:paraId="50A9B0EC" w14:textId="77777777" w:rsidR="000F6066" w:rsidRPr="000F6066" w:rsidRDefault="000F6066" w:rsidP="000F6066">
            <w:pPr>
              <w:rPr>
                <w:sz w:val="20"/>
                <w:szCs w:val="20"/>
              </w:rPr>
            </w:pPr>
          </w:p>
          <w:p w14:paraId="18F51F8F" w14:textId="77777777" w:rsidR="000F6066" w:rsidRPr="000F6066" w:rsidRDefault="000F6066" w:rsidP="000F6066">
            <w:pPr>
              <w:rPr>
                <w:sz w:val="20"/>
                <w:szCs w:val="20"/>
              </w:rPr>
            </w:pPr>
          </w:p>
          <w:p w14:paraId="7A4C8B58" w14:textId="3B674AAC" w:rsidR="000F6066" w:rsidRPr="000F6066" w:rsidRDefault="000F6066" w:rsidP="004F2449">
            <w:pPr>
              <w:rPr>
                <w:sz w:val="20"/>
                <w:szCs w:val="20"/>
              </w:rPr>
            </w:pPr>
          </w:p>
        </w:tc>
        <w:tc>
          <w:tcPr>
            <w:tcW w:w="2697" w:type="dxa"/>
          </w:tcPr>
          <w:p w14:paraId="658A9E4F" w14:textId="77777777" w:rsidR="000F6066" w:rsidRPr="000F6066" w:rsidRDefault="000F6066" w:rsidP="004F2449">
            <w:pPr>
              <w:rPr>
                <w:sz w:val="20"/>
                <w:szCs w:val="20"/>
              </w:rPr>
            </w:pPr>
          </w:p>
        </w:tc>
        <w:tc>
          <w:tcPr>
            <w:tcW w:w="2790" w:type="dxa"/>
          </w:tcPr>
          <w:p w14:paraId="11E839E8" w14:textId="77777777" w:rsidR="000F6066" w:rsidRDefault="000F6066" w:rsidP="004F2449"/>
        </w:tc>
        <w:tc>
          <w:tcPr>
            <w:tcW w:w="5130" w:type="dxa"/>
          </w:tcPr>
          <w:p w14:paraId="150240C4" w14:textId="77777777" w:rsidR="000F6066" w:rsidRDefault="000F6066" w:rsidP="004F2449"/>
        </w:tc>
      </w:tr>
      <w:tr w:rsidR="000F6066" w14:paraId="58EAD125" w14:textId="77777777" w:rsidTr="000F6066">
        <w:trPr>
          <w:trHeight w:val="1898"/>
        </w:trPr>
        <w:tc>
          <w:tcPr>
            <w:tcW w:w="2878" w:type="dxa"/>
          </w:tcPr>
          <w:p w14:paraId="1E1764AA" w14:textId="75B0C35F" w:rsidR="000F6066" w:rsidRPr="000F6066" w:rsidRDefault="000F6066" w:rsidP="004F2449">
            <w:pPr>
              <w:rPr>
                <w:sz w:val="20"/>
                <w:szCs w:val="20"/>
              </w:rPr>
            </w:pPr>
            <w:r w:rsidRPr="00A0430B">
              <w:rPr>
                <w:b/>
                <w:sz w:val="20"/>
                <w:szCs w:val="20"/>
              </w:rPr>
              <w:t>Question 1.6</w:t>
            </w:r>
            <w:r w:rsidR="00A0430B">
              <w:rPr>
                <w:sz w:val="20"/>
                <w:szCs w:val="20"/>
              </w:rPr>
              <w:t xml:space="preserve"> Stakeholder engagement (external p</w:t>
            </w:r>
            <w:r w:rsidRPr="000F6066">
              <w:rPr>
                <w:sz w:val="20"/>
                <w:szCs w:val="20"/>
              </w:rPr>
              <w:t>artners)</w:t>
            </w:r>
          </w:p>
        </w:tc>
        <w:tc>
          <w:tcPr>
            <w:tcW w:w="2697" w:type="dxa"/>
          </w:tcPr>
          <w:p w14:paraId="027D9611" w14:textId="77777777" w:rsidR="000F6066" w:rsidRPr="000F6066" w:rsidRDefault="000F6066" w:rsidP="004F2449">
            <w:pPr>
              <w:rPr>
                <w:sz w:val="20"/>
                <w:szCs w:val="20"/>
              </w:rPr>
            </w:pPr>
          </w:p>
        </w:tc>
        <w:tc>
          <w:tcPr>
            <w:tcW w:w="2790" w:type="dxa"/>
          </w:tcPr>
          <w:p w14:paraId="26F2C885" w14:textId="77777777" w:rsidR="000F6066" w:rsidRDefault="000F6066" w:rsidP="004F2449"/>
        </w:tc>
        <w:tc>
          <w:tcPr>
            <w:tcW w:w="5130" w:type="dxa"/>
          </w:tcPr>
          <w:p w14:paraId="4B034E97" w14:textId="77777777" w:rsidR="000F6066" w:rsidRDefault="000F6066" w:rsidP="004F2449"/>
        </w:tc>
      </w:tr>
      <w:tr w:rsidR="000F6066" w14:paraId="672DBB97" w14:textId="77777777" w:rsidTr="000F6066">
        <w:trPr>
          <w:trHeight w:val="1898"/>
        </w:trPr>
        <w:tc>
          <w:tcPr>
            <w:tcW w:w="2878" w:type="dxa"/>
          </w:tcPr>
          <w:p w14:paraId="54E86233" w14:textId="027C0892" w:rsidR="000F6066" w:rsidRPr="000F6066" w:rsidRDefault="000F6066" w:rsidP="004F2449">
            <w:pPr>
              <w:rPr>
                <w:sz w:val="20"/>
                <w:szCs w:val="20"/>
              </w:rPr>
            </w:pPr>
            <w:r w:rsidRPr="00A0430B">
              <w:rPr>
                <w:b/>
                <w:sz w:val="20"/>
                <w:szCs w:val="20"/>
              </w:rPr>
              <w:t>Question 1.7</w:t>
            </w:r>
            <w:r w:rsidR="00A0430B">
              <w:rPr>
                <w:sz w:val="20"/>
                <w:szCs w:val="20"/>
              </w:rPr>
              <w:t xml:space="preserve"> Data sharing agreement p</w:t>
            </w:r>
            <w:r w:rsidRPr="000F6066">
              <w:rPr>
                <w:sz w:val="20"/>
                <w:szCs w:val="20"/>
              </w:rPr>
              <w:t>rocedures</w:t>
            </w:r>
          </w:p>
        </w:tc>
        <w:tc>
          <w:tcPr>
            <w:tcW w:w="2697" w:type="dxa"/>
          </w:tcPr>
          <w:p w14:paraId="720C1AB0" w14:textId="77777777" w:rsidR="000F6066" w:rsidRPr="000F6066" w:rsidRDefault="000F6066" w:rsidP="004F2449">
            <w:pPr>
              <w:rPr>
                <w:sz w:val="20"/>
                <w:szCs w:val="20"/>
              </w:rPr>
            </w:pPr>
          </w:p>
        </w:tc>
        <w:tc>
          <w:tcPr>
            <w:tcW w:w="2790" w:type="dxa"/>
          </w:tcPr>
          <w:p w14:paraId="5568BBCF" w14:textId="77777777" w:rsidR="000F6066" w:rsidRDefault="000F6066" w:rsidP="004F2449"/>
        </w:tc>
        <w:tc>
          <w:tcPr>
            <w:tcW w:w="5130" w:type="dxa"/>
          </w:tcPr>
          <w:p w14:paraId="2DF9E75E" w14:textId="77777777" w:rsidR="000F6066" w:rsidRDefault="000F6066" w:rsidP="004F2449"/>
        </w:tc>
      </w:tr>
      <w:tr w:rsidR="000F6066" w14:paraId="141ECE07" w14:textId="77777777" w:rsidTr="000F6066">
        <w:trPr>
          <w:trHeight w:val="1898"/>
        </w:trPr>
        <w:tc>
          <w:tcPr>
            <w:tcW w:w="2878" w:type="dxa"/>
          </w:tcPr>
          <w:p w14:paraId="4DFAA455" w14:textId="1602A6C1" w:rsidR="000F6066" w:rsidRPr="000F6066" w:rsidRDefault="000F6066" w:rsidP="004F2449">
            <w:pPr>
              <w:rPr>
                <w:sz w:val="20"/>
                <w:szCs w:val="20"/>
              </w:rPr>
            </w:pPr>
            <w:r w:rsidRPr="00E65861">
              <w:rPr>
                <w:b/>
                <w:sz w:val="20"/>
                <w:szCs w:val="20"/>
              </w:rPr>
              <w:lastRenderedPageBreak/>
              <w:t>Question 1.8</w:t>
            </w:r>
            <w:r w:rsidR="00E65861">
              <w:rPr>
                <w:sz w:val="20"/>
                <w:szCs w:val="20"/>
              </w:rPr>
              <w:t xml:space="preserve"> Privacy, confidentiality and informed consent p</w:t>
            </w:r>
            <w:r w:rsidRPr="000F6066">
              <w:rPr>
                <w:sz w:val="20"/>
                <w:szCs w:val="20"/>
              </w:rPr>
              <w:t>rocedures</w:t>
            </w:r>
          </w:p>
        </w:tc>
        <w:tc>
          <w:tcPr>
            <w:tcW w:w="2697" w:type="dxa"/>
          </w:tcPr>
          <w:p w14:paraId="237F4133" w14:textId="77777777" w:rsidR="000F6066" w:rsidRPr="000F6066" w:rsidRDefault="000F6066" w:rsidP="004F2449">
            <w:pPr>
              <w:rPr>
                <w:sz w:val="20"/>
                <w:szCs w:val="20"/>
              </w:rPr>
            </w:pPr>
          </w:p>
        </w:tc>
        <w:tc>
          <w:tcPr>
            <w:tcW w:w="2790" w:type="dxa"/>
          </w:tcPr>
          <w:p w14:paraId="63F4FFB7" w14:textId="77777777" w:rsidR="000F6066" w:rsidRDefault="000F6066" w:rsidP="004F2449"/>
        </w:tc>
        <w:tc>
          <w:tcPr>
            <w:tcW w:w="5130" w:type="dxa"/>
          </w:tcPr>
          <w:p w14:paraId="4903068B" w14:textId="77777777" w:rsidR="000F6066" w:rsidRDefault="000F6066" w:rsidP="004F2449"/>
        </w:tc>
      </w:tr>
      <w:tr w:rsidR="000F6066" w14:paraId="38AFC84C" w14:textId="77777777" w:rsidTr="000F6066">
        <w:trPr>
          <w:trHeight w:val="1898"/>
        </w:trPr>
        <w:tc>
          <w:tcPr>
            <w:tcW w:w="2878" w:type="dxa"/>
          </w:tcPr>
          <w:p w14:paraId="70782822" w14:textId="75562851" w:rsidR="000F6066" w:rsidRPr="000F6066" w:rsidRDefault="000F6066" w:rsidP="004F2449">
            <w:pPr>
              <w:rPr>
                <w:sz w:val="20"/>
                <w:szCs w:val="20"/>
              </w:rPr>
            </w:pPr>
            <w:r w:rsidRPr="00E65861">
              <w:rPr>
                <w:b/>
                <w:sz w:val="20"/>
                <w:szCs w:val="20"/>
              </w:rPr>
              <w:t>Question 1.9</w:t>
            </w:r>
            <w:r w:rsidR="002D24E4">
              <w:rPr>
                <w:sz w:val="20"/>
                <w:szCs w:val="20"/>
              </w:rPr>
              <w:t xml:space="preserve"> Informatics focal p</w:t>
            </w:r>
            <w:r w:rsidRPr="000F6066">
              <w:rPr>
                <w:sz w:val="20"/>
                <w:szCs w:val="20"/>
              </w:rPr>
              <w:t>oint</w:t>
            </w:r>
          </w:p>
        </w:tc>
        <w:tc>
          <w:tcPr>
            <w:tcW w:w="2697" w:type="dxa"/>
          </w:tcPr>
          <w:p w14:paraId="4CA88534" w14:textId="77777777" w:rsidR="000F6066" w:rsidRPr="000F6066" w:rsidRDefault="000F6066" w:rsidP="004F2449">
            <w:pPr>
              <w:rPr>
                <w:sz w:val="20"/>
                <w:szCs w:val="20"/>
              </w:rPr>
            </w:pPr>
          </w:p>
        </w:tc>
        <w:tc>
          <w:tcPr>
            <w:tcW w:w="2790" w:type="dxa"/>
          </w:tcPr>
          <w:p w14:paraId="780B089C" w14:textId="77777777" w:rsidR="000F6066" w:rsidRDefault="000F6066" w:rsidP="004F2449"/>
        </w:tc>
        <w:tc>
          <w:tcPr>
            <w:tcW w:w="5130" w:type="dxa"/>
          </w:tcPr>
          <w:p w14:paraId="5A563804" w14:textId="77777777" w:rsidR="000F6066" w:rsidRDefault="000F6066" w:rsidP="004F2449"/>
        </w:tc>
      </w:tr>
      <w:tr w:rsidR="000F6066" w14:paraId="074D4673" w14:textId="77777777" w:rsidTr="000F6066">
        <w:trPr>
          <w:trHeight w:val="1898"/>
        </w:trPr>
        <w:tc>
          <w:tcPr>
            <w:tcW w:w="2878" w:type="dxa"/>
          </w:tcPr>
          <w:p w14:paraId="25ACBA46" w14:textId="2FA326CA" w:rsidR="000F6066" w:rsidRPr="000F6066" w:rsidRDefault="000F6066" w:rsidP="004F2449">
            <w:pPr>
              <w:rPr>
                <w:sz w:val="20"/>
                <w:szCs w:val="20"/>
              </w:rPr>
            </w:pPr>
            <w:r w:rsidRPr="006D027C">
              <w:rPr>
                <w:b/>
                <w:sz w:val="20"/>
                <w:szCs w:val="20"/>
              </w:rPr>
              <w:t>Question 1.10</w:t>
            </w:r>
            <w:r w:rsidR="006D027C">
              <w:rPr>
                <w:sz w:val="20"/>
                <w:szCs w:val="20"/>
              </w:rPr>
              <w:t xml:space="preserve"> Effective relationship IT/i</w:t>
            </w:r>
            <w:r w:rsidRPr="000F6066">
              <w:rPr>
                <w:sz w:val="20"/>
                <w:szCs w:val="20"/>
              </w:rPr>
              <w:t>nformatics</w:t>
            </w:r>
          </w:p>
        </w:tc>
        <w:tc>
          <w:tcPr>
            <w:tcW w:w="2697" w:type="dxa"/>
          </w:tcPr>
          <w:p w14:paraId="6E72DF27" w14:textId="77777777" w:rsidR="000F6066" w:rsidRPr="000F6066" w:rsidRDefault="000F6066" w:rsidP="004F2449">
            <w:pPr>
              <w:rPr>
                <w:sz w:val="20"/>
                <w:szCs w:val="20"/>
              </w:rPr>
            </w:pPr>
          </w:p>
        </w:tc>
        <w:tc>
          <w:tcPr>
            <w:tcW w:w="2790" w:type="dxa"/>
          </w:tcPr>
          <w:p w14:paraId="47E7BF32" w14:textId="77777777" w:rsidR="000F6066" w:rsidRDefault="000F6066" w:rsidP="004F2449"/>
        </w:tc>
        <w:tc>
          <w:tcPr>
            <w:tcW w:w="5130" w:type="dxa"/>
          </w:tcPr>
          <w:p w14:paraId="209ECDE3" w14:textId="77777777" w:rsidR="000F6066" w:rsidRDefault="000F6066" w:rsidP="004F2449"/>
        </w:tc>
      </w:tr>
      <w:tr w:rsidR="000F6066" w14:paraId="77B21C29" w14:textId="77777777" w:rsidTr="000F6066">
        <w:trPr>
          <w:trHeight w:val="1898"/>
        </w:trPr>
        <w:tc>
          <w:tcPr>
            <w:tcW w:w="2878" w:type="dxa"/>
          </w:tcPr>
          <w:p w14:paraId="6257ED82" w14:textId="62030E98" w:rsidR="000F6066" w:rsidRPr="000F6066" w:rsidRDefault="000F6066" w:rsidP="004F2449">
            <w:pPr>
              <w:rPr>
                <w:sz w:val="20"/>
                <w:szCs w:val="20"/>
              </w:rPr>
            </w:pPr>
            <w:r w:rsidRPr="006D027C">
              <w:rPr>
                <w:b/>
                <w:sz w:val="20"/>
                <w:szCs w:val="20"/>
              </w:rPr>
              <w:t>Question 1.11</w:t>
            </w:r>
            <w:r w:rsidR="006D027C">
              <w:rPr>
                <w:sz w:val="20"/>
                <w:szCs w:val="20"/>
              </w:rPr>
              <w:t xml:space="preserve"> Collaboration with community partners to meet population health goals/o</w:t>
            </w:r>
            <w:r w:rsidRPr="000F6066">
              <w:rPr>
                <w:sz w:val="20"/>
                <w:szCs w:val="20"/>
              </w:rPr>
              <w:t>bjectives</w:t>
            </w:r>
          </w:p>
        </w:tc>
        <w:tc>
          <w:tcPr>
            <w:tcW w:w="2697" w:type="dxa"/>
          </w:tcPr>
          <w:p w14:paraId="623F6EE3" w14:textId="77777777" w:rsidR="000F6066" w:rsidRPr="000F6066" w:rsidRDefault="000F6066" w:rsidP="004F2449">
            <w:pPr>
              <w:rPr>
                <w:sz w:val="20"/>
                <w:szCs w:val="20"/>
              </w:rPr>
            </w:pPr>
          </w:p>
        </w:tc>
        <w:tc>
          <w:tcPr>
            <w:tcW w:w="2790" w:type="dxa"/>
          </w:tcPr>
          <w:p w14:paraId="368DF26D" w14:textId="77777777" w:rsidR="000F6066" w:rsidRDefault="000F6066" w:rsidP="004F2449"/>
        </w:tc>
        <w:tc>
          <w:tcPr>
            <w:tcW w:w="5130" w:type="dxa"/>
          </w:tcPr>
          <w:p w14:paraId="7E9A1204" w14:textId="77777777" w:rsidR="000F6066" w:rsidRDefault="000F6066" w:rsidP="004F2449"/>
        </w:tc>
      </w:tr>
    </w:tbl>
    <w:p w14:paraId="164FF54F" w14:textId="0358A71E" w:rsidR="000F6066" w:rsidRDefault="000F6066" w:rsidP="00F20560"/>
    <w:p w14:paraId="7B0FEAC8" w14:textId="77777777" w:rsidR="000F6066" w:rsidRDefault="000F6066">
      <w:pPr>
        <w:suppressAutoHyphens w:val="0"/>
        <w:autoSpaceDE/>
        <w:autoSpaceDN/>
        <w:adjustRightInd/>
        <w:spacing w:after="160" w:line="259" w:lineRule="auto"/>
        <w:textAlignment w:val="auto"/>
      </w:pPr>
      <w:r>
        <w:br w:type="page"/>
      </w:r>
    </w:p>
    <w:p w14:paraId="1C5570D3" w14:textId="77777777" w:rsidR="009463B6" w:rsidRDefault="009463B6" w:rsidP="009463B6">
      <w:pPr>
        <w:pStyle w:val="Heading4"/>
        <w:rPr>
          <w:rStyle w:val="MakeLight"/>
          <w:b/>
          <w:i w:val="0"/>
          <w:sz w:val="44"/>
          <w:szCs w:val="36"/>
        </w:rPr>
      </w:pPr>
      <w:r>
        <w:rPr>
          <w:b/>
          <w:i w:val="0"/>
          <w:sz w:val="28"/>
        </w:rPr>
        <w:lastRenderedPageBreak/>
        <w:t>Building an informatics-savvy health d</w:t>
      </w:r>
      <w:r w:rsidRPr="00F20560">
        <w:rPr>
          <w:b/>
          <w:i w:val="0"/>
          <w:sz w:val="28"/>
        </w:rPr>
        <w:t>epartment</w:t>
      </w:r>
      <w:r w:rsidRPr="00F20560">
        <w:rPr>
          <w:rStyle w:val="MakeLight"/>
          <w:b/>
          <w:i w:val="0"/>
          <w:sz w:val="44"/>
          <w:szCs w:val="36"/>
        </w:rPr>
        <w:t xml:space="preserve"> </w:t>
      </w:r>
    </w:p>
    <w:p w14:paraId="5AE0F660" w14:textId="421D79D4" w:rsidR="00F20560" w:rsidRDefault="009463B6" w:rsidP="00F20560">
      <w:r>
        <w:rPr>
          <w:rFonts w:asciiTheme="majorHAnsi" w:hAnsiTheme="majorHAnsi" w:cstheme="majorHAnsi"/>
          <w:b/>
          <w:sz w:val="24"/>
        </w:rPr>
        <w:t>Workforce strategy self-assessment w</w:t>
      </w:r>
      <w:r w:rsidRPr="009463B6">
        <w:rPr>
          <w:rFonts w:asciiTheme="majorHAnsi" w:hAnsiTheme="majorHAnsi" w:cstheme="majorHAnsi"/>
          <w:b/>
          <w:sz w:val="24"/>
        </w:rPr>
        <w:t>orksheet</w:t>
      </w:r>
    </w:p>
    <w:tbl>
      <w:tblPr>
        <w:tblStyle w:val="TableGrid"/>
        <w:tblW w:w="13495" w:type="dxa"/>
        <w:tblLook w:val="04A0" w:firstRow="1" w:lastRow="0" w:firstColumn="1" w:lastColumn="0" w:noHBand="0" w:noVBand="1"/>
      </w:tblPr>
      <w:tblGrid>
        <w:gridCol w:w="2878"/>
        <w:gridCol w:w="2697"/>
        <w:gridCol w:w="2790"/>
        <w:gridCol w:w="5130"/>
      </w:tblGrid>
      <w:tr w:rsidR="009463B6" w14:paraId="33B71DDD" w14:textId="77777777" w:rsidTr="004F2449">
        <w:trPr>
          <w:trHeight w:val="575"/>
          <w:tblHeader/>
        </w:trPr>
        <w:tc>
          <w:tcPr>
            <w:tcW w:w="2878" w:type="dxa"/>
            <w:shd w:val="clear" w:color="auto" w:fill="5C8CB6"/>
          </w:tcPr>
          <w:p w14:paraId="6EB2B3CF" w14:textId="77777777" w:rsidR="009463B6" w:rsidRPr="000F6066" w:rsidRDefault="009463B6" w:rsidP="004F2449">
            <w:pPr>
              <w:pStyle w:val="Heading3"/>
              <w:spacing w:before="120"/>
              <w:outlineLvl w:val="2"/>
              <w:rPr>
                <w:rFonts w:asciiTheme="minorHAnsi" w:hAnsiTheme="minorHAnsi" w:cstheme="minorHAnsi"/>
                <w:b/>
                <w:color w:val="FFFFFF" w:themeColor="background1"/>
                <w:sz w:val="28"/>
                <w:szCs w:val="28"/>
              </w:rPr>
            </w:pPr>
            <w:bookmarkStart w:id="27" w:name="_Toc1737541"/>
            <w:r w:rsidRPr="000F6066">
              <w:rPr>
                <w:rFonts w:asciiTheme="minorHAnsi" w:hAnsiTheme="minorHAnsi" w:cstheme="minorHAnsi"/>
                <w:b/>
                <w:color w:val="FFFFFF" w:themeColor="background1"/>
                <w:sz w:val="28"/>
                <w:szCs w:val="28"/>
              </w:rPr>
              <w:t>Question</w:t>
            </w:r>
            <w:bookmarkEnd w:id="27"/>
            <w:r w:rsidRPr="000F6066">
              <w:rPr>
                <w:rFonts w:asciiTheme="minorHAnsi" w:hAnsiTheme="minorHAnsi" w:cstheme="minorHAnsi"/>
                <w:b/>
                <w:color w:val="FFFFFF" w:themeColor="background1"/>
                <w:sz w:val="28"/>
                <w:szCs w:val="28"/>
              </w:rPr>
              <w:t xml:space="preserve"> </w:t>
            </w:r>
          </w:p>
        </w:tc>
        <w:tc>
          <w:tcPr>
            <w:tcW w:w="2697" w:type="dxa"/>
            <w:shd w:val="clear" w:color="auto" w:fill="5C8CB6"/>
          </w:tcPr>
          <w:p w14:paraId="58A8F59F" w14:textId="582652FA" w:rsidR="009463B6" w:rsidRPr="000F6066" w:rsidRDefault="006D027C" w:rsidP="004F2449">
            <w:pPr>
              <w:pStyle w:val="Heading3"/>
              <w:spacing w:before="120"/>
              <w:outlineLvl w:val="2"/>
              <w:rPr>
                <w:rFonts w:asciiTheme="minorHAnsi" w:hAnsiTheme="minorHAnsi" w:cstheme="minorHAnsi"/>
                <w:b/>
                <w:color w:val="FFFFFF" w:themeColor="background1"/>
                <w:sz w:val="28"/>
                <w:szCs w:val="28"/>
              </w:rPr>
            </w:pPr>
            <w:bookmarkStart w:id="28" w:name="_Toc1737542"/>
            <w:r>
              <w:rPr>
                <w:rFonts w:asciiTheme="minorHAnsi" w:hAnsiTheme="minorHAnsi" w:cstheme="minorHAnsi"/>
                <w:b/>
                <w:color w:val="FFFFFF" w:themeColor="background1"/>
                <w:sz w:val="28"/>
                <w:szCs w:val="28"/>
              </w:rPr>
              <w:t>Individual s</w:t>
            </w:r>
            <w:r w:rsidR="009463B6" w:rsidRPr="000F6066">
              <w:rPr>
                <w:rFonts w:asciiTheme="minorHAnsi" w:hAnsiTheme="minorHAnsi" w:cstheme="minorHAnsi"/>
                <w:b/>
                <w:color w:val="FFFFFF" w:themeColor="background1"/>
                <w:sz w:val="28"/>
                <w:szCs w:val="28"/>
              </w:rPr>
              <w:t>cores</w:t>
            </w:r>
            <w:bookmarkEnd w:id="28"/>
          </w:p>
        </w:tc>
        <w:tc>
          <w:tcPr>
            <w:tcW w:w="2790" w:type="dxa"/>
            <w:shd w:val="clear" w:color="auto" w:fill="5C8CB6"/>
          </w:tcPr>
          <w:p w14:paraId="64E3C47A" w14:textId="2309B08C" w:rsidR="009463B6" w:rsidRPr="000F6066" w:rsidRDefault="006D027C" w:rsidP="004F2449">
            <w:pPr>
              <w:pStyle w:val="Heading3"/>
              <w:spacing w:before="120"/>
              <w:outlineLvl w:val="2"/>
              <w:rPr>
                <w:rFonts w:asciiTheme="minorHAnsi" w:hAnsiTheme="minorHAnsi" w:cstheme="minorHAnsi"/>
                <w:b/>
                <w:color w:val="FFFFFF" w:themeColor="background1"/>
                <w:sz w:val="28"/>
                <w:szCs w:val="28"/>
              </w:rPr>
            </w:pPr>
            <w:bookmarkStart w:id="29" w:name="_Toc1737543"/>
            <w:r>
              <w:rPr>
                <w:rFonts w:asciiTheme="minorHAnsi" w:hAnsiTheme="minorHAnsi" w:cstheme="minorHAnsi"/>
                <w:b/>
                <w:color w:val="FFFFFF" w:themeColor="background1"/>
                <w:sz w:val="28"/>
                <w:szCs w:val="28"/>
              </w:rPr>
              <w:t>Consensus s</w:t>
            </w:r>
            <w:r w:rsidR="009463B6" w:rsidRPr="000F6066">
              <w:rPr>
                <w:rFonts w:asciiTheme="minorHAnsi" w:hAnsiTheme="minorHAnsi" w:cstheme="minorHAnsi"/>
                <w:b/>
                <w:color w:val="FFFFFF" w:themeColor="background1"/>
                <w:sz w:val="28"/>
                <w:szCs w:val="28"/>
              </w:rPr>
              <w:t>core</w:t>
            </w:r>
            <w:bookmarkEnd w:id="29"/>
          </w:p>
        </w:tc>
        <w:tc>
          <w:tcPr>
            <w:tcW w:w="5130" w:type="dxa"/>
            <w:shd w:val="clear" w:color="auto" w:fill="5C8CB6"/>
          </w:tcPr>
          <w:p w14:paraId="10F575DB" w14:textId="77777777" w:rsidR="009463B6" w:rsidRPr="000F6066" w:rsidRDefault="009463B6" w:rsidP="004F2449">
            <w:pPr>
              <w:pStyle w:val="Heading3"/>
              <w:spacing w:before="120"/>
              <w:outlineLvl w:val="2"/>
              <w:rPr>
                <w:rFonts w:asciiTheme="minorHAnsi" w:hAnsiTheme="minorHAnsi" w:cstheme="minorHAnsi"/>
                <w:b/>
                <w:color w:val="FFFFFF" w:themeColor="background1"/>
                <w:sz w:val="28"/>
                <w:szCs w:val="28"/>
              </w:rPr>
            </w:pPr>
            <w:bookmarkStart w:id="30" w:name="_Toc1737544"/>
            <w:r w:rsidRPr="000F6066">
              <w:rPr>
                <w:rFonts w:asciiTheme="minorHAnsi" w:hAnsiTheme="minorHAnsi" w:cstheme="minorHAnsi"/>
                <w:b/>
                <w:color w:val="FFFFFF" w:themeColor="background1"/>
                <w:sz w:val="28"/>
                <w:szCs w:val="28"/>
              </w:rPr>
              <w:t>Actions</w:t>
            </w:r>
            <w:bookmarkEnd w:id="30"/>
          </w:p>
        </w:tc>
      </w:tr>
      <w:tr w:rsidR="009463B6" w14:paraId="78604395" w14:textId="77777777" w:rsidTr="004F2449">
        <w:trPr>
          <w:trHeight w:val="1673"/>
        </w:trPr>
        <w:tc>
          <w:tcPr>
            <w:tcW w:w="2878" w:type="dxa"/>
          </w:tcPr>
          <w:p w14:paraId="13016FD2" w14:textId="55E9285D" w:rsidR="009463B6" w:rsidRPr="000F6066" w:rsidRDefault="006D027C" w:rsidP="004F2449">
            <w:pPr>
              <w:rPr>
                <w:sz w:val="20"/>
                <w:szCs w:val="20"/>
              </w:rPr>
            </w:pPr>
            <w:r w:rsidRPr="006D027C">
              <w:rPr>
                <w:b/>
                <w:sz w:val="20"/>
                <w:szCs w:val="20"/>
              </w:rPr>
              <w:t>Question 2.1</w:t>
            </w:r>
            <w:r>
              <w:rPr>
                <w:sz w:val="20"/>
                <w:szCs w:val="20"/>
              </w:rPr>
              <w:t xml:space="preserve"> Workforce s</w:t>
            </w:r>
            <w:r w:rsidR="009463B6" w:rsidRPr="009463B6">
              <w:rPr>
                <w:sz w:val="20"/>
                <w:szCs w:val="20"/>
              </w:rPr>
              <w:t>trategy</w:t>
            </w:r>
          </w:p>
        </w:tc>
        <w:tc>
          <w:tcPr>
            <w:tcW w:w="2697" w:type="dxa"/>
          </w:tcPr>
          <w:p w14:paraId="392B782C" w14:textId="77777777" w:rsidR="009463B6" w:rsidRPr="000F6066" w:rsidRDefault="009463B6" w:rsidP="004F2449">
            <w:pPr>
              <w:rPr>
                <w:sz w:val="20"/>
                <w:szCs w:val="20"/>
              </w:rPr>
            </w:pPr>
          </w:p>
        </w:tc>
        <w:tc>
          <w:tcPr>
            <w:tcW w:w="2790" w:type="dxa"/>
          </w:tcPr>
          <w:p w14:paraId="53AE0241" w14:textId="77777777" w:rsidR="009463B6" w:rsidRDefault="009463B6" w:rsidP="004F2449"/>
        </w:tc>
        <w:tc>
          <w:tcPr>
            <w:tcW w:w="5130" w:type="dxa"/>
          </w:tcPr>
          <w:p w14:paraId="55996263" w14:textId="77777777" w:rsidR="009463B6" w:rsidRDefault="009463B6" w:rsidP="004F2449"/>
        </w:tc>
      </w:tr>
      <w:tr w:rsidR="009463B6" w14:paraId="73849743" w14:textId="77777777" w:rsidTr="004F2449">
        <w:trPr>
          <w:trHeight w:val="1421"/>
        </w:trPr>
        <w:tc>
          <w:tcPr>
            <w:tcW w:w="2878" w:type="dxa"/>
          </w:tcPr>
          <w:p w14:paraId="45C940C4" w14:textId="1FAAD4BD" w:rsidR="009463B6" w:rsidRPr="000F6066" w:rsidRDefault="009463B6" w:rsidP="004F2449">
            <w:pPr>
              <w:rPr>
                <w:sz w:val="20"/>
                <w:szCs w:val="20"/>
              </w:rPr>
            </w:pPr>
            <w:r w:rsidRPr="006D027C">
              <w:rPr>
                <w:b/>
                <w:sz w:val="20"/>
                <w:szCs w:val="20"/>
              </w:rPr>
              <w:t>Question 2.2</w:t>
            </w:r>
            <w:r w:rsidR="006D027C">
              <w:rPr>
                <w:sz w:val="20"/>
                <w:szCs w:val="20"/>
              </w:rPr>
              <w:t xml:space="preserve"> Job classifications for informatics p</w:t>
            </w:r>
            <w:r w:rsidRPr="009463B6">
              <w:rPr>
                <w:sz w:val="20"/>
                <w:szCs w:val="20"/>
              </w:rPr>
              <w:t xml:space="preserve">rofessionals </w:t>
            </w:r>
          </w:p>
          <w:p w14:paraId="54C67BAA" w14:textId="77777777" w:rsidR="009463B6" w:rsidRPr="000F6066" w:rsidRDefault="009463B6" w:rsidP="004F2449">
            <w:pPr>
              <w:rPr>
                <w:sz w:val="20"/>
                <w:szCs w:val="20"/>
              </w:rPr>
            </w:pPr>
          </w:p>
          <w:p w14:paraId="5D830824" w14:textId="77777777" w:rsidR="009463B6" w:rsidRPr="000F6066" w:rsidRDefault="009463B6" w:rsidP="004F2449">
            <w:pPr>
              <w:rPr>
                <w:sz w:val="20"/>
                <w:szCs w:val="20"/>
              </w:rPr>
            </w:pPr>
          </w:p>
          <w:p w14:paraId="06DC2FB0" w14:textId="77777777" w:rsidR="009463B6" w:rsidRPr="000F6066" w:rsidRDefault="009463B6" w:rsidP="004F2449">
            <w:pPr>
              <w:rPr>
                <w:sz w:val="20"/>
                <w:szCs w:val="20"/>
              </w:rPr>
            </w:pPr>
          </w:p>
          <w:p w14:paraId="481E27E9" w14:textId="77777777" w:rsidR="009463B6" w:rsidRPr="000F6066" w:rsidRDefault="009463B6" w:rsidP="004F2449">
            <w:pPr>
              <w:rPr>
                <w:sz w:val="20"/>
                <w:szCs w:val="20"/>
              </w:rPr>
            </w:pPr>
          </w:p>
          <w:p w14:paraId="47EDFF98" w14:textId="77777777" w:rsidR="009463B6" w:rsidRPr="000F6066" w:rsidRDefault="009463B6" w:rsidP="004F2449">
            <w:pPr>
              <w:rPr>
                <w:sz w:val="20"/>
                <w:szCs w:val="20"/>
              </w:rPr>
            </w:pPr>
          </w:p>
        </w:tc>
        <w:tc>
          <w:tcPr>
            <w:tcW w:w="2697" w:type="dxa"/>
          </w:tcPr>
          <w:p w14:paraId="10733DEB" w14:textId="77777777" w:rsidR="009463B6" w:rsidRPr="000F6066" w:rsidRDefault="009463B6" w:rsidP="004F2449">
            <w:pPr>
              <w:rPr>
                <w:sz w:val="20"/>
                <w:szCs w:val="20"/>
              </w:rPr>
            </w:pPr>
          </w:p>
        </w:tc>
        <w:tc>
          <w:tcPr>
            <w:tcW w:w="2790" w:type="dxa"/>
          </w:tcPr>
          <w:p w14:paraId="301B0FBA" w14:textId="77777777" w:rsidR="009463B6" w:rsidRDefault="009463B6" w:rsidP="004F2449"/>
        </w:tc>
        <w:tc>
          <w:tcPr>
            <w:tcW w:w="5130" w:type="dxa"/>
          </w:tcPr>
          <w:p w14:paraId="1937249F" w14:textId="77777777" w:rsidR="009463B6" w:rsidRDefault="009463B6" w:rsidP="004F2449"/>
        </w:tc>
      </w:tr>
      <w:tr w:rsidR="009463B6" w14:paraId="37B6EEA4" w14:textId="77777777" w:rsidTr="004F2449">
        <w:trPr>
          <w:trHeight w:val="2492"/>
        </w:trPr>
        <w:tc>
          <w:tcPr>
            <w:tcW w:w="2878" w:type="dxa"/>
          </w:tcPr>
          <w:p w14:paraId="40ABEBB0" w14:textId="1B660EC3" w:rsidR="009463B6" w:rsidRPr="000F6066" w:rsidRDefault="009463B6" w:rsidP="004F2449">
            <w:pPr>
              <w:rPr>
                <w:sz w:val="20"/>
                <w:szCs w:val="20"/>
              </w:rPr>
            </w:pPr>
            <w:r w:rsidRPr="006D027C">
              <w:rPr>
                <w:b/>
                <w:sz w:val="20"/>
                <w:szCs w:val="20"/>
              </w:rPr>
              <w:t>Question 2.3</w:t>
            </w:r>
            <w:r w:rsidRPr="009463B6">
              <w:rPr>
                <w:sz w:val="20"/>
                <w:szCs w:val="20"/>
              </w:rPr>
              <w:t xml:space="preserve"> Training</w:t>
            </w:r>
          </w:p>
        </w:tc>
        <w:tc>
          <w:tcPr>
            <w:tcW w:w="2697" w:type="dxa"/>
          </w:tcPr>
          <w:p w14:paraId="1E7D8CA4" w14:textId="77777777" w:rsidR="009463B6" w:rsidRPr="000F6066" w:rsidRDefault="009463B6" w:rsidP="004F2449">
            <w:pPr>
              <w:rPr>
                <w:sz w:val="20"/>
                <w:szCs w:val="20"/>
              </w:rPr>
            </w:pPr>
          </w:p>
        </w:tc>
        <w:tc>
          <w:tcPr>
            <w:tcW w:w="2790" w:type="dxa"/>
          </w:tcPr>
          <w:p w14:paraId="518930EA" w14:textId="77777777" w:rsidR="009463B6" w:rsidRDefault="009463B6" w:rsidP="004F2449"/>
        </w:tc>
        <w:tc>
          <w:tcPr>
            <w:tcW w:w="5130" w:type="dxa"/>
          </w:tcPr>
          <w:p w14:paraId="172669D6" w14:textId="77777777" w:rsidR="009463B6" w:rsidRDefault="009463B6" w:rsidP="004F2449"/>
        </w:tc>
      </w:tr>
      <w:tr w:rsidR="009463B6" w14:paraId="209447B8" w14:textId="77777777" w:rsidTr="004F2449">
        <w:trPr>
          <w:trHeight w:val="1898"/>
        </w:trPr>
        <w:tc>
          <w:tcPr>
            <w:tcW w:w="2878" w:type="dxa"/>
          </w:tcPr>
          <w:p w14:paraId="61603264" w14:textId="1AD4D299" w:rsidR="009463B6" w:rsidRPr="000F6066" w:rsidRDefault="009463B6" w:rsidP="004F2449">
            <w:pPr>
              <w:rPr>
                <w:sz w:val="20"/>
                <w:szCs w:val="20"/>
              </w:rPr>
            </w:pPr>
            <w:r w:rsidRPr="006D027C">
              <w:rPr>
                <w:b/>
                <w:sz w:val="20"/>
                <w:szCs w:val="20"/>
              </w:rPr>
              <w:lastRenderedPageBreak/>
              <w:t>Question 2.4</w:t>
            </w:r>
            <w:r w:rsidR="006D027C">
              <w:rPr>
                <w:sz w:val="20"/>
                <w:szCs w:val="20"/>
              </w:rPr>
              <w:t xml:space="preserve"> Informatics p</w:t>
            </w:r>
            <w:r w:rsidRPr="009463B6">
              <w:rPr>
                <w:sz w:val="20"/>
                <w:szCs w:val="20"/>
              </w:rPr>
              <w:t xml:space="preserve">rofessionals </w:t>
            </w:r>
          </w:p>
          <w:p w14:paraId="427A0AA8" w14:textId="77777777" w:rsidR="009463B6" w:rsidRPr="000F6066" w:rsidRDefault="009463B6" w:rsidP="004F2449">
            <w:pPr>
              <w:rPr>
                <w:sz w:val="20"/>
                <w:szCs w:val="20"/>
              </w:rPr>
            </w:pPr>
          </w:p>
          <w:p w14:paraId="5EF7B130" w14:textId="77777777" w:rsidR="009463B6" w:rsidRPr="000F6066" w:rsidRDefault="009463B6" w:rsidP="004F2449">
            <w:pPr>
              <w:rPr>
                <w:sz w:val="20"/>
                <w:szCs w:val="20"/>
              </w:rPr>
            </w:pPr>
          </w:p>
        </w:tc>
        <w:tc>
          <w:tcPr>
            <w:tcW w:w="2697" w:type="dxa"/>
          </w:tcPr>
          <w:p w14:paraId="5F555654" w14:textId="77777777" w:rsidR="009463B6" w:rsidRPr="000F6066" w:rsidRDefault="009463B6" w:rsidP="004F2449">
            <w:pPr>
              <w:rPr>
                <w:sz w:val="20"/>
                <w:szCs w:val="20"/>
              </w:rPr>
            </w:pPr>
          </w:p>
        </w:tc>
        <w:tc>
          <w:tcPr>
            <w:tcW w:w="2790" w:type="dxa"/>
          </w:tcPr>
          <w:p w14:paraId="67DDB0D3" w14:textId="77777777" w:rsidR="009463B6" w:rsidRDefault="009463B6" w:rsidP="004F2449"/>
        </w:tc>
        <w:tc>
          <w:tcPr>
            <w:tcW w:w="5130" w:type="dxa"/>
          </w:tcPr>
          <w:p w14:paraId="3ED58677" w14:textId="77777777" w:rsidR="009463B6" w:rsidRDefault="009463B6" w:rsidP="004F2449"/>
        </w:tc>
      </w:tr>
      <w:tr w:rsidR="009463B6" w14:paraId="072972C7" w14:textId="77777777" w:rsidTr="004F2449">
        <w:trPr>
          <w:trHeight w:val="1898"/>
        </w:trPr>
        <w:tc>
          <w:tcPr>
            <w:tcW w:w="2878" w:type="dxa"/>
          </w:tcPr>
          <w:p w14:paraId="7912072A" w14:textId="4E4C3C41" w:rsidR="009463B6" w:rsidRPr="000F6066" w:rsidRDefault="009463B6" w:rsidP="004F2449">
            <w:pPr>
              <w:rPr>
                <w:sz w:val="20"/>
                <w:szCs w:val="20"/>
              </w:rPr>
            </w:pPr>
            <w:r w:rsidRPr="006D027C">
              <w:rPr>
                <w:b/>
                <w:sz w:val="20"/>
                <w:szCs w:val="20"/>
              </w:rPr>
              <w:t>Question 2.5</w:t>
            </w:r>
            <w:r w:rsidR="006D027C">
              <w:rPr>
                <w:sz w:val="20"/>
                <w:szCs w:val="20"/>
              </w:rPr>
              <w:t xml:space="preserve"> Informatics knowledge and skills (program l</w:t>
            </w:r>
            <w:r w:rsidRPr="009463B6">
              <w:rPr>
                <w:sz w:val="20"/>
                <w:szCs w:val="20"/>
              </w:rPr>
              <w:t>evel)</w:t>
            </w:r>
          </w:p>
          <w:p w14:paraId="43A9D32A" w14:textId="77777777" w:rsidR="009463B6" w:rsidRPr="000F6066" w:rsidRDefault="009463B6" w:rsidP="004F2449">
            <w:pPr>
              <w:rPr>
                <w:sz w:val="20"/>
                <w:szCs w:val="20"/>
              </w:rPr>
            </w:pPr>
          </w:p>
          <w:p w14:paraId="6516C44D" w14:textId="77777777" w:rsidR="009463B6" w:rsidRPr="000F6066" w:rsidRDefault="009463B6" w:rsidP="004F2449">
            <w:pPr>
              <w:rPr>
                <w:sz w:val="20"/>
                <w:szCs w:val="20"/>
              </w:rPr>
            </w:pPr>
          </w:p>
          <w:p w14:paraId="3575BA34" w14:textId="77777777" w:rsidR="009463B6" w:rsidRPr="000F6066" w:rsidRDefault="009463B6" w:rsidP="004F2449">
            <w:pPr>
              <w:rPr>
                <w:sz w:val="20"/>
                <w:szCs w:val="20"/>
              </w:rPr>
            </w:pPr>
          </w:p>
          <w:p w14:paraId="00753CE1" w14:textId="77777777" w:rsidR="009463B6" w:rsidRPr="000F6066" w:rsidRDefault="009463B6" w:rsidP="004F2449">
            <w:pPr>
              <w:rPr>
                <w:sz w:val="20"/>
                <w:szCs w:val="20"/>
              </w:rPr>
            </w:pPr>
          </w:p>
        </w:tc>
        <w:tc>
          <w:tcPr>
            <w:tcW w:w="2697" w:type="dxa"/>
          </w:tcPr>
          <w:p w14:paraId="2CAD2B01" w14:textId="77777777" w:rsidR="009463B6" w:rsidRPr="000F6066" w:rsidRDefault="009463B6" w:rsidP="004F2449">
            <w:pPr>
              <w:rPr>
                <w:sz w:val="20"/>
                <w:szCs w:val="20"/>
              </w:rPr>
            </w:pPr>
          </w:p>
        </w:tc>
        <w:tc>
          <w:tcPr>
            <w:tcW w:w="2790" w:type="dxa"/>
          </w:tcPr>
          <w:p w14:paraId="0A577FBD" w14:textId="77777777" w:rsidR="009463B6" w:rsidRDefault="009463B6" w:rsidP="004F2449"/>
        </w:tc>
        <w:tc>
          <w:tcPr>
            <w:tcW w:w="5130" w:type="dxa"/>
          </w:tcPr>
          <w:p w14:paraId="59CC2161" w14:textId="77777777" w:rsidR="009463B6" w:rsidRDefault="009463B6" w:rsidP="004F2449"/>
        </w:tc>
      </w:tr>
      <w:tr w:rsidR="009463B6" w14:paraId="55CB385C" w14:textId="77777777" w:rsidTr="004F2449">
        <w:trPr>
          <w:trHeight w:val="1898"/>
        </w:trPr>
        <w:tc>
          <w:tcPr>
            <w:tcW w:w="2878" w:type="dxa"/>
          </w:tcPr>
          <w:p w14:paraId="5C24E0B5" w14:textId="72DDEAFA" w:rsidR="009463B6" w:rsidRPr="000F6066" w:rsidRDefault="009463B6" w:rsidP="004F2449">
            <w:pPr>
              <w:rPr>
                <w:sz w:val="20"/>
                <w:szCs w:val="20"/>
              </w:rPr>
            </w:pPr>
            <w:r w:rsidRPr="006D027C">
              <w:rPr>
                <w:b/>
                <w:sz w:val="20"/>
                <w:szCs w:val="20"/>
              </w:rPr>
              <w:t>Question 2.6</w:t>
            </w:r>
            <w:r w:rsidR="006D027C">
              <w:rPr>
                <w:sz w:val="20"/>
                <w:szCs w:val="20"/>
              </w:rPr>
              <w:t xml:space="preserve"> Informatics knowledge and skills (program m</w:t>
            </w:r>
            <w:r w:rsidRPr="009463B6">
              <w:rPr>
                <w:sz w:val="20"/>
                <w:szCs w:val="20"/>
              </w:rPr>
              <w:t>anagers)</w:t>
            </w:r>
          </w:p>
        </w:tc>
        <w:tc>
          <w:tcPr>
            <w:tcW w:w="2697" w:type="dxa"/>
          </w:tcPr>
          <w:p w14:paraId="0DCD643C" w14:textId="77777777" w:rsidR="009463B6" w:rsidRPr="000F6066" w:rsidRDefault="009463B6" w:rsidP="004F2449">
            <w:pPr>
              <w:rPr>
                <w:sz w:val="20"/>
                <w:szCs w:val="20"/>
              </w:rPr>
            </w:pPr>
          </w:p>
        </w:tc>
        <w:tc>
          <w:tcPr>
            <w:tcW w:w="2790" w:type="dxa"/>
          </w:tcPr>
          <w:p w14:paraId="1B8B1B87" w14:textId="77777777" w:rsidR="009463B6" w:rsidRDefault="009463B6" w:rsidP="004F2449"/>
        </w:tc>
        <w:tc>
          <w:tcPr>
            <w:tcW w:w="5130" w:type="dxa"/>
          </w:tcPr>
          <w:p w14:paraId="42ABD9B1" w14:textId="77777777" w:rsidR="009463B6" w:rsidRDefault="009463B6" w:rsidP="004F2449"/>
        </w:tc>
      </w:tr>
    </w:tbl>
    <w:p w14:paraId="61E48537" w14:textId="250550BD" w:rsidR="009463B6" w:rsidRDefault="009463B6" w:rsidP="00F20560"/>
    <w:p w14:paraId="57F71696" w14:textId="77777777" w:rsidR="009463B6" w:rsidRDefault="009463B6">
      <w:pPr>
        <w:suppressAutoHyphens w:val="0"/>
        <w:autoSpaceDE/>
        <w:autoSpaceDN/>
        <w:adjustRightInd/>
        <w:spacing w:after="160" w:line="259" w:lineRule="auto"/>
        <w:textAlignment w:val="auto"/>
      </w:pPr>
      <w:r>
        <w:br w:type="page"/>
      </w:r>
    </w:p>
    <w:p w14:paraId="74101A64" w14:textId="77777777" w:rsidR="009463B6" w:rsidRDefault="009463B6" w:rsidP="009463B6">
      <w:pPr>
        <w:pStyle w:val="Heading4"/>
        <w:rPr>
          <w:rStyle w:val="MakeLight"/>
          <w:b/>
          <w:i w:val="0"/>
          <w:sz w:val="44"/>
          <w:szCs w:val="36"/>
        </w:rPr>
      </w:pPr>
      <w:r>
        <w:rPr>
          <w:b/>
          <w:i w:val="0"/>
          <w:sz w:val="28"/>
        </w:rPr>
        <w:lastRenderedPageBreak/>
        <w:t>Building an informatics-savvy health d</w:t>
      </w:r>
      <w:r w:rsidRPr="00F20560">
        <w:rPr>
          <w:b/>
          <w:i w:val="0"/>
          <w:sz w:val="28"/>
        </w:rPr>
        <w:t>epartment</w:t>
      </w:r>
      <w:r w:rsidRPr="00F20560">
        <w:rPr>
          <w:rStyle w:val="MakeLight"/>
          <w:b/>
          <w:i w:val="0"/>
          <w:sz w:val="44"/>
          <w:szCs w:val="36"/>
        </w:rPr>
        <w:t xml:space="preserve"> </w:t>
      </w:r>
    </w:p>
    <w:p w14:paraId="1389B584" w14:textId="7D7DE6EF" w:rsidR="000F6066" w:rsidRDefault="009463B6" w:rsidP="009463B6">
      <w:pPr>
        <w:rPr>
          <w:rFonts w:asciiTheme="majorHAnsi" w:hAnsiTheme="majorHAnsi" w:cstheme="majorHAnsi"/>
          <w:b/>
          <w:sz w:val="24"/>
        </w:rPr>
      </w:pPr>
      <w:r>
        <w:rPr>
          <w:rFonts w:asciiTheme="majorHAnsi" w:hAnsiTheme="majorHAnsi" w:cstheme="majorHAnsi"/>
          <w:b/>
          <w:sz w:val="24"/>
        </w:rPr>
        <w:t>Information systems self-assessment w</w:t>
      </w:r>
      <w:r w:rsidRPr="009463B6">
        <w:rPr>
          <w:rFonts w:asciiTheme="majorHAnsi" w:hAnsiTheme="majorHAnsi" w:cstheme="majorHAnsi"/>
          <w:b/>
          <w:sz w:val="24"/>
        </w:rPr>
        <w:t>orksheet</w:t>
      </w:r>
    </w:p>
    <w:tbl>
      <w:tblPr>
        <w:tblStyle w:val="TableGrid"/>
        <w:tblW w:w="13495" w:type="dxa"/>
        <w:tblLook w:val="04A0" w:firstRow="1" w:lastRow="0" w:firstColumn="1" w:lastColumn="0" w:noHBand="0" w:noVBand="1"/>
      </w:tblPr>
      <w:tblGrid>
        <w:gridCol w:w="2878"/>
        <w:gridCol w:w="2697"/>
        <w:gridCol w:w="2790"/>
        <w:gridCol w:w="5130"/>
      </w:tblGrid>
      <w:tr w:rsidR="009463B6" w14:paraId="4A9ED720" w14:textId="77777777" w:rsidTr="004F2449">
        <w:trPr>
          <w:trHeight w:val="575"/>
          <w:tblHeader/>
        </w:trPr>
        <w:tc>
          <w:tcPr>
            <w:tcW w:w="2878" w:type="dxa"/>
            <w:shd w:val="clear" w:color="auto" w:fill="5C8CB6"/>
          </w:tcPr>
          <w:p w14:paraId="20361B86" w14:textId="77777777" w:rsidR="009463B6" w:rsidRPr="000F6066" w:rsidRDefault="009463B6" w:rsidP="004F2449">
            <w:pPr>
              <w:pStyle w:val="Heading3"/>
              <w:spacing w:before="120"/>
              <w:outlineLvl w:val="2"/>
              <w:rPr>
                <w:rFonts w:asciiTheme="minorHAnsi" w:hAnsiTheme="minorHAnsi" w:cstheme="minorHAnsi"/>
                <w:b/>
                <w:color w:val="FFFFFF" w:themeColor="background1"/>
                <w:sz w:val="28"/>
                <w:szCs w:val="28"/>
              </w:rPr>
            </w:pPr>
            <w:bookmarkStart w:id="31" w:name="_Toc1737545"/>
            <w:r w:rsidRPr="000F6066">
              <w:rPr>
                <w:rFonts w:asciiTheme="minorHAnsi" w:hAnsiTheme="minorHAnsi" w:cstheme="minorHAnsi"/>
                <w:b/>
                <w:color w:val="FFFFFF" w:themeColor="background1"/>
                <w:sz w:val="28"/>
                <w:szCs w:val="28"/>
              </w:rPr>
              <w:t>Question</w:t>
            </w:r>
            <w:bookmarkEnd w:id="31"/>
            <w:r w:rsidRPr="000F6066">
              <w:rPr>
                <w:rFonts w:asciiTheme="minorHAnsi" w:hAnsiTheme="minorHAnsi" w:cstheme="minorHAnsi"/>
                <w:b/>
                <w:color w:val="FFFFFF" w:themeColor="background1"/>
                <w:sz w:val="28"/>
                <w:szCs w:val="28"/>
              </w:rPr>
              <w:t xml:space="preserve"> </w:t>
            </w:r>
          </w:p>
        </w:tc>
        <w:tc>
          <w:tcPr>
            <w:tcW w:w="2697" w:type="dxa"/>
            <w:shd w:val="clear" w:color="auto" w:fill="5C8CB6"/>
          </w:tcPr>
          <w:p w14:paraId="56CAA5D7" w14:textId="64426A01" w:rsidR="009463B6" w:rsidRPr="000F6066" w:rsidRDefault="006D027C" w:rsidP="004F2449">
            <w:pPr>
              <w:pStyle w:val="Heading3"/>
              <w:spacing w:before="120"/>
              <w:outlineLvl w:val="2"/>
              <w:rPr>
                <w:rFonts w:asciiTheme="minorHAnsi" w:hAnsiTheme="minorHAnsi" w:cstheme="minorHAnsi"/>
                <w:b/>
                <w:color w:val="FFFFFF" w:themeColor="background1"/>
                <w:sz w:val="28"/>
                <w:szCs w:val="28"/>
              </w:rPr>
            </w:pPr>
            <w:bookmarkStart w:id="32" w:name="_Toc1737546"/>
            <w:r>
              <w:rPr>
                <w:rFonts w:asciiTheme="minorHAnsi" w:hAnsiTheme="minorHAnsi" w:cstheme="minorHAnsi"/>
                <w:b/>
                <w:color w:val="FFFFFF" w:themeColor="background1"/>
                <w:sz w:val="28"/>
                <w:szCs w:val="28"/>
              </w:rPr>
              <w:t>Individual s</w:t>
            </w:r>
            <w:r w:rsidR="009463B6" w:rsidRPr="000F6066">
              <w:rPr>
                <w:rFonts w:asciiTheme="minorHAnsi" w:hAnsiTheme="minorHAnsi" w:cstheme="minorHAnsi"/>
                <w:b/>
                <w:color w:val="FFFFFF" w:themeColor="background1"/>
                <w:sz w:val="28"/>
                <w:szCs w:val="28"/>
              </w:rPr>
              <w:t>cores</w:t>
            </w:r>
            <w:bookmarkEnd w:id="32"/>
          </w:p>
        </w:tc>
        <w:tc>
          <w:tcPr>
            <w:tcW w:w="2790" w:type="dxa"/>
            <w:shd w:val="clear" w:color="auto" w:fill="5C8CB6"/>
          </w:tcPr>
          <w:p w14:paraId="374911DB" w14:textId="1F13C574" w:rsidR="009463B6" w:rsidRPr="000F6066" w:rsidRDefault="006D027C" w:rsidP="004F2449">
            <w:pPr>
              <w:pStyle w:val="Heading3"/>
              <w:spacing w:before="120"/>
              <w:outlineLvl w:val="2"/>
              <w:rPr>
                <w:rFonts w:asciiTheme="minorHAnsi" w:hAnsiTheme="minorHAnsi" w:cstheme="minorHAnsi"/>
                <w:b/>
                <w:color w:val="FFFFFF" w:themeColor="background1"/>
                <w:sz w:val="28"/>
                <w:szCs w:val="28"/>
              </w:rPr>
            </w:pPr>
            <w:bookmarkStart w:id="33" w:name="_Toc1737547"/>
            <w:r>
              <w:rPr>
                <w:rFonts w:asciiTheme="minorHAnsi" w:hAnsiTheme="minorHAnsi" w:cstheme="minorHAnsi"/>
                <w:b/>
                <w:color w:val="FFFFFF" w:themeColor="background1"/>
                <w:sz w:val="28"/>
                <w:szCs w:val="28"/>
              </w:rPr>
              <w:t>Consensus s</w:t>
            </w:r>
            <w:r w:rsidR="009463B6" w:rsidRPr="000F6066">
              <w:rPr>
                <w:rFonts w:asciiTheme="minorHAnsi" w:hAnsiTheme="minorHAnsi" w:cstheme="minorHAnsi"/>
                <w:b/>
                <w:color w:val="FFFFFF" w:themeColor="background1"/>
                <w:sz w:val="28"/>
                <w:szCs w:val="28"/>
              </w:rPr>
              <w:t>core</w:t>
            </w:r>
            <w:bookmarkEnd w:id="33"/>
          </w:p>
        </w:tc>
        <w:tc>
          <w:tcPr>
            <w:tcW w:w="5130" w:type="dxa"/>
            <w:shd w:val="clear" w:color="auto" w:fill="5C8CB6"/>
          </w:tcPr>
          <w:p w14:paraId="093ED5DB" w14:textId="77777777" w:rsidR="009463B6" w:rsidRPr="000F6066" w:rsidRDefault="009463B6" w:rsidP="004F2449">
            <w:pPr>
              <w:pStyle w:val="Heading3"/>
              <w:spacing w:before="120"/>
              <w:outlineLvl w:val="2"/>
              <w:rPr>
                <w:rFonts w:asciiTheme="minorHAnsi" w:hAnsiTheme="minorHAnsi" w:cstheme="minorHAnsi"/>
                <w:b/>
                <w:color w:val="FFFFFF" w:themeColor="background1"/>
                <w:sz w:val="28"/>
                <w:szCs w:val="28"/>
              </w:rPr>
            </w:pPr>
            <w:bookmarkStart w:id="34" w:name="_Toc1737548"/>
            <w:r w:rsidRPr="000F6066">
              <w:rPr>
                <w:rFonts w:asciiTheme="minorHAnsi" w:hAnsiTheme="minorHAnsi" w:cstheme="minorHAnsi"/>
                <w:b/>
                <w:color w:val="FFFFFF" w:themeColor="background1"/>
                <w:sz w:val="28"/>
                <w:szCs w:val="28"/>
              </w:rPr>
              <w:t>Actions</w:t>
            </w:r>
            <w:bookmarkEnd w:id="34"/>
          </w:p>
        </w:tc>
      </w:tr>
      <w:tr w:rsidR="009463B6" w14:paraId="7F0584F4" w14:textId="77777777" w:rsidTr="004F2449">
        <w:trPr>
          <w:trHeight w:val="1673"/>
        </w:trPr>
        <w:tc>
          <w:tcPr>
            <w:tcW w:w="2878" w:type="dxa"/>
          </w:tcPr>
          <w:p w14:paraId="4AAFB2AD" w14:textId="5D5F764C" w:rsidR="009463B6" w:rsidRPr="000F6066" w:rsidRDefault="009463B6" w:rsidP="004F2449">
            <w:pPr>
              <w:rPr>
                <w:sz w:val="20"/>
                <w:szCs w:val="20"/>
              </w:rPr>
            </w:pPr>
            <w:r w:rsidRPr="006D027C">
              <w:rPr>
                <w:b/>
                <w:sz w:val="20"/>
                <w:szCs w:val="20"/>
              </w:rPr>
              <w:t>Question 3.1</w:t>
            </w:r>
            <w:r w:rsidR="006D027C">
              <w:rPr>
                <w:sz w:val="20"/>
                <w:szCs w:val="20"/>
              </w:rPr>
              <w:t xml:space="preserve"> Software development p</w:t>
            </w:r>
            <w:r w:rsidRPr="009463B6">
              <w:rPr>
                <w:sz w:val="20"/>
                <w:szCs w:val="20"/>
              </w:rPr>
              <w:t>rocess</w:t>
            </w:r>
          </w:p>
        </w:tc>
        <w:tc>
          <w:tcPr>
            <w:tcW w:w="2697" w:type="dxa"/>
          </w:tcPr>
          <w:p w14:paraId="51667EB3" w14:textId="77777777" w:rsidR="009463B6" w:rsidRPr="000F6066" w:rsidRDefault="009463B6" w:rsidP="004F2449">
            <w:pPr>
              <w:rPr>
                <w:sz w:val="20"/>
                <w:szCs w:val="20"/>
              </w:rPr>
            </w:pPr>
          </w:p>
        </w:tc>
        <w:tc>
          <w:tcPr>
            <w:tcW w:w="2790" w:type="dxa"/>
          </w:tcPr>
          <w:p w14:paraId="6417696C" w14:textId="77777777" w:rsidR="009463B6" w:rsidRDefault="009463B6" w:rsidP="004F2449"/>
        </w:tc>
        <w:tc>
          <w:tcPr>
            <w:tcW w:w="5130" w:type="dxa"/>
          </w:tcPr>
          <w:p w14:paraId="7134509D" w14:textId="77777777" w:rsidR="009463B6" w:rsidRDefault="009463B6" w:rsidP="004F2449"/>
        </w:tc>
      </w:tr>
      <w:tr w:rsidR="009463B6" w14:paraId="6DDACD09" w14:textId="77777777" w:rsidTr="004F2449">
        <w:trPr>
          <w:trHeight w:val="1421"/>
        </w:trPr>
        <w:tc>
          <w:tcPr>
            <w:tcW w:w="2878" w:type="dxa"/>
          </w:tcPr>
          <w:p w14:paraId="1E494765" w14:textId="63873EA3" w:rsidR="009463B6" w:rsidRPr="000F6066" w:rsidRDefault="009463B6" w:rsidP="004F2449">
            <w:pPr>
              <w:rPr>
                <w:sz w:val="20"/>
                <w:szCs w:val="20"/>
              </w:rPr>
            </w:pPr>
            <w:r w:rsidRPr="006D027C">
              <w:rPr>
                <w:b/>
                <w:sz w:val="20"/>
                <w:szCs w:val="20"/>
              </w:rPr>
              <w:t>Question 3.2</w:t>
            </w:r>
            <w:r w:rsidR="006D027C">
              <w:rPr>
                <w:sz w:val="20"/>
                <w:szCs w:val="20"/>
              </w:rPr>
              <w:t xml:space="preserve"> Project m</w:t>
            </w:r>
            <w:r w:rsidRPr="009463B6">
              <w:rPr>
                <w:sz w:val="20"/>
                <w:szCs w:val="20"/>
              </w:rPr>
              <w:t xml:space="preserve">anagement </w:t>
            </w:r>
          </w:p>
          <w:p w14:paraId="7C44B013" w14:textId="77777777" w:rsidR="009463B6" w:rsidRPr="000F6066" w:rsidRDefault="009463B6" w:rsidP="004F2449">
            <w:pPr>
              <w:rPr>
                <w:sz w:val="20"/>
                <w:szCs w:val="20"/>
              </w:rPr>
            </w:pPr>
          </w:p>
          <w:p w14:paraId="7223C68E" w14:textId="77777777" w:rsidR="009463B6" w:rsidRPr="000F6066" w:rsidRDefault="009463B6" w:rsidP="004F2449">
            <w:pPr>
              <w:rPr>
                <w:sz w:val="20"/>
                <w:szCs w:val="20"/>
              </w:rPr>
            </w:pPr>
          </w:p>
          <w:p w14:paraId="618526F3" w14:textId="77777777" w:rsidR="009463B6" w:rsidRPr="000F6066" w:rsidRDefault="009463B6" w:rsidP="004F2449">
            <w:pPr>
              <w:rPr>
                <w:sz w:val="20"/>
                <w:szCs w:val="20"/>
              </w:rPr>
            </w:pPr>
          </w:p>
          <w:p w14:paraId="4C3431BC" w14:textId="77777777" w:rsidR="009463B6" w:rsidRPr="000F6066" w:rsidRDefault="009463B6" w:rsidP="004F2449">
            <w:pPr>
              <w:rPr>
                <w:sz w:val="20"/>
                <w:szCs w:val="20"/>
              </w:rPr>
            </w:pPr>
          </w:p>
          <w:p w14:paraId="432C7EFC" w14:textId="77777777" w:rsidR="009463B6" w:rsidRDefault="009463B6" w:rsidP="004F2449">
            <w:pPr>
              <w:rPr>
                <w:sz w:val="20"/>
                <w:szCs w:val="20"/>
              </w:rPr>
            </w:pPr>
          </w:p>
          <w:p w14:paraId="0964E400" w14:textId="2DFFA367" w:rsidR="00125672" w:rsidRPr="000F6066" w:rsidRDefault="00125672" w:rsidP="004F2449">
            <w:pPr>
              <w:rPr>
                <w:sz w:val="20"/>
                <w:szCs w:val="20"/>
              </w:rPr>
            </w:pPr>
          </w:p>
        </w:tc>
        <w:tc>
          <w:tcPr>
            <w:tcW w:w="2697" w:type="dxa"/>
          </w:tcPr>
          <w:p w14:paraId="7E8B7A49" w14:textId="77777777" w:rsidR="009463B6" w:rsidRPr="000F6066" w:rsidRDefault="009463B6" w:rsidP="004F2449">
            <w:pPr>
              <w:rPr>
                <w:sz w:val="20"/>
                <w:szCs w:val="20"/>
              </w:rPr>
            </w:pPr>
          </w:p>
        </w:tc>
        <w:tc>
          <w:tcPr>
            <w:tcW w:w="2790" w:type="dxa"/>
          </w:tcPr>
          <w:p w14:paraId="47DF3BC1" w14:textId="77777777" w:rsidR="009463B6" w:rsidRDefault="009463B6" w:rsidP="004F2449"/>
        </w:tc>
        <w:tc>
          <w:tcPr>
            <w:tcW w:w="5130" w:type="dxa"/>
          </w:tcPr>
          <w:p w14:paraId="5A04310E" w14:textId="77777777" w:rsidR="009463B6" w:rsidRDefault="009463B6" w:rsidP="004F2449"/>
        </w:tc>
      </w:tr>
      <w:tr w:rsidR="009463B6" w14:paraId="45622623" w14:textId="77777777" w:rsidTr="00125672">
        <w:trPr>
          <w:trHeight w:val="2933"/>
        </w:trPr>
        <w:tc>
          <w:tcPr>
            <w:tcW w:w="2878" w:type="dxa"/>
          </w:tcPr>
          <w:p w14:paraId="7DF8C222" w14:textId="084CA380" w:rsidR="009463B6" w:rsidRPr="000F6066" w:rsidRDefault="009463B6" w:rsidP="004F2449">
            <w:pPr>
              <w:rPr>
                <w:sz w:val="20"/>
                <w:szCs w:val="20"/>
              </w:rPr>
            </w:pPr>
            <w:r w:rsidRPr="006D027C">
              <w:rPr>
                <w:b/>
                <w:sz w:val="20"/>
                <w:szCs w:val="20"/>
              </w:rPr>
              <w:t>Question 3.3</w:t>
            </w:r>
            <w:r w:rsidR="006D027C">
              <w:rPr>
                <w:sz w:val="20"/>
                <w:szCs w:val="20"/>
              </w:rPr>
              <w:t xml:space="preserve"> Information systems i</w:t>
            </w:r>
            <w:r w:rsidRPr="009463B6">
              <w:rPr>
                <w:sz w:val="20"/>
                <w:szCs w:val="20"/>
              </w:rPr>
              <w:t>nventory</w:t>
            </w:r>
          </w:p>
        </w:tc>
        <w:tc>
          <w:tcPr>
            <w:tcW w:w="2697" w:type="dxa"/>
          </w:tcPr>
          <w:p w14:paraId="4B3C99E6" w14:textId="77777777" w:rsidR="009463B6" w:rsidRPr="000F6066" w:rsidRDefault="009463B6" w:rsidP="004F2449">
            <w:pPr>
              <w:rPr>
                <w:sz w:val="20"/>
                <w:szCs w:val="20"/>
              </w:rPr>
            </w:pPr>
          </w:p>
        </w:tc>
        <w:tc>
          <w:tcPr>
            <w:tcW w:w="2790" w:type="dxa"/>
          </w:tcPr>
          <w:p w14:paraId="6EE8D6A8" w14:textId="77777777" w:rsidR="009463B6" w:rsidRDefault="009463B6" w:rsidP="004F2449"/>
        </w:tc>
        <w:tc>
          <w:tcPr>
            <w:tcW w:w="5130" w:type="dxa"/>
          </w:tcPr>
          <w:p w14:paraId="757FDD85" w14:textId="77777777" w:rsidR="009463B6" w:rsidRDefault="009463B6" w:rsidP="004F2449"/>
        </w:tc>
      </w:tr>
      <w:tr w:rsidR="009463B6" w14:paraId="7D0ABCC8" w14:textId="77777777" w:rsidTr="00125672">
        <w:trPr>
          <w:trHeight w:val="2465"/>
        </w:trPr>
        <w:tc>
          <w:tcPr>
            <w:tcW w:w="2878" w:type="dxa"/>
          </w:tcPr>
          <w:p w14:paraId="685D3E89" w14:textId="321F8ABE" w:rsidR="009463B6" w:rsidRPr="000F6066" w:rsidRDefault="009463B6" w:rsidP="004F2449">
            <w:pPr>
              <w:rPr>
                <w:sz w:val="20"/>
                <w:szCs w:val="20"/>
              </w:rPr>
            </w:pPr>
            <w:r w:rsidRPr="00FD6CC5">
              <w:rPr>
                <w:b/>
                <w:sz w:val="20"/>
                <w:szCs w:val="20"/>
              </w:rPr>
              <w:lastRenderedPageBreak/>
              <w:t>Question 3.4</w:t>
            </w:r>
            <w:r w:rsidR="00FD6CC5">
              <w:rPr>
                <w:sz w:val="20"/>
                <w:szCs w:val="20"/>
              </w:rPr>
              <w:t xml:space="preserve"> Information systems u</w:t>
            </w:r>
            <w:r w:rsidRPr="009463B6">
              <w:rPr>
                <w:sz w:val="20"/>
                <w:szCs w:val="20"/>
              </w:rPr>
              <w:t xml:space="preserve">sability </w:t>
            </w:r>
          </w:p>
          <w:p w14:paraId="5C34F40C" w14:textId="77777777" w:rsidR="009463B6" w:rsidRPr="000F6066" w:rsidRDefault="009463B6" w:rsidP="004F2449">
            <w:pPr>
              <w:rPr>
                <w:sz w:val="20"/>
                <w:szCs w:val="20"/>
              </w:rPr>
            </w:pPr>
          </w:p>
          <w:p w14:paraId="768347DF" w14:textId="77777777" w:rsidR="009463B6" w:rsidRPr="000F6066" w:rsidRDefault="009463B6" w:rsidP="004F2449">
            <w:pPr>
              <w:rPr>
                <w:sz w:val="20"/>
                <w:szCs w:val="20"/>
              </w:rPr>
            </w:pPr>
          </w:p>
        </w:tc>
        <w:tc>
          <w:tcPr>
            <w:tcW w:w="2697" w:type="dxa"/>
          </w:tcPr>
          <w:p w14:paraId="25693C36" w14:textId="77777777" w:rsidR="009463B6" w:rsidRPr="000F6066" w:rsidRDefault="009463B6" w:rsidP="004F2449">
            <w:pPr>
              <w:rPr>
                <w:sz w:val="20"/>
                <w:szCs w:val="20"/>
              </w:rPr>
            </w:pPr>
          </w:p>
        </w:tc>
        <w:tc>
          <w:tcPr>
            <w:tcW w:w="2790" w:type="dxa"/>
          </w:tcPr>
          <w:p w14:paraId="5137A361" w14:textId="77777777" w:rsidR="009463B6" w:rsidRDefault="009463B6" w:rsidP="004F2449"/>
        </w:tc>
        <w:tc>
          <w:tcPr>
            <w:tcW w:w="5130" w:type="dxa"/>
          </w:tcPr>
          <w:p w14:paraId="5E83B02E" w14:textId="77777777" w:rsidR="009463B6" w:rsidRDefault="009463B6" w:rsidP="004F2449"/>
        </w:tc>
      </w:tr>
      <w:tr w:rsidR="009463B6" w14:paraId="2D187C90" w14:textId="77777777" w:rsidTr="00125672">
        <w:trPr>
          <w:trHeight w:val="2600"/>
        </w:trPr>
        <w:tc>
          <w:tcPr>
            <w:tcW w:w="2878" w:type="dxa"/>
          </w:tcPr>
          <w:p w14:paraId="3A8B49CF" w14:textId="10A5B22F" w:rsidR="009463B6" w:rsidRPr="000F6066" w:rsidRDefault="009463B6" w:rsidP="004F2449">
            <w:pPr>
              <w:rPr>
                <w:sz w:val="20"/>
                <w:szCs w:val="20"/>
              </w:rPr>
            </w:pPr>
            <w:r w:rsidRPr="00FD6CC5">
              <w:rPr>
                <w:b/>
                <w:sz w:val="20"/>
                <w:szCs w:val="20"/>
              </w:rPr>
              <w:t>Question 3.5</w:t>
            </w:r>
            <w:r w:rsidR="00FD6CC5">
              <w:rPr>
                <w:sz w:val="20"/>
                <w:szCs w:val="20"/>
              </w:rPr>
              <w:t xml:space="preserve"> Standards adoption and i</w:t>
            </w:r>
            <w:r w:rsidRPr="009463B6">
              <w:rPr>
                <w:sz w:val="20"/>
                <w:szCs w:val="20"/>
              </w:rPr>
              <w:t xml:space="preserve">mplementation </w:t>
            </w:r>
          </w:p>
          <w:p w14:paraId="0C9B52E2" w14:textId="77777777" w:rsidR="009463B6" w:rsidRPr="000F6066" w:rsidRDefault="009463B6" w:rsidP="004F2449">
            <w:pPr>
              <w:rPr>
                <w:sz w:val="20"/>
                <w:szCs w:val="20"/>
              </w:rPr>
            </w:pPr>
          </w:p>
          <w:p w14:paraId="3DC762EC" w14:textId="77777777" w:rsidR="009463B6" w:rsidRPr="000F6066" w:rsidRDefault="009463B6" w:rsidP="004F2449">
            <w:pPr>
              <w:rPr>
                <w:sz w:val="20"/>
                <w:szCs w:val="20"/>
              </w:rPr>
            </w:pPr>
          </w:p>
          <w:p w14:paraId="252AC1C4" w14:textId="77777777" w:rsidR="009463B6" w:rsidRPr="000F6066" w:rsidRDefault="009463B6" w:rsidP="004F2449">
            <w:pPr>
              <w:rPr>
                <w:sz w:val="20"/>
                <w:szCs w:val="20"/>
              </w:rPr>
            </w:pPr>
          </w:p>
          <w:p w14:paraId="7458415C" w14:textId="77777777" w:rsidR="009463B6" w:rsidRPr="000F6066" w:rsidRDefault="009463B6" w:rsidP="004F2449">
            <w:pPr>
              <w:rPr>
                <w:sz w:val="20"/>
                <w:szCs w:val="20"/>
              </w:rPr>
            </w:pPr>
          </w:p>
        </w:tc>
        <w:tc>
          <w:tcPr>
            <w:tcW w:w="2697" w:type="dxa"/>
          </w:tcPr>
          <w:p w14:paraId="78D0595C" w14:textId="77777777" w:rsidR="009463B6" w:rsidRPr="000F6066" w:rsidRDefault="009463B6" w:rsidP="004F2449">
            <w:pPr>
              <w:rPr>
                <w:sz w:val="20"/>
                <w:szCs w:val="20"/>
              </w:rPr>
            </w:pPr>
          </w:p>
        </w:tc>
        <w:tc>
          <w:tcPr>
            <w:tcW w:w="2790" w:type="dxa"/>
          </w:tcPr>
          <w:p w14:paraId="6C0110D6" w14:textId="77777777" w:rsidR="009463B6" w:rsidRDefault="009463B6" w:rsidP="004F2449"/>
        </w:tc>
        <w:tc>
          <w:tcPr>
            <w:tcW w:w="5130" w:type="dxa"/>
          </w:tcPr>
          <w:p w14:paraId="7FEFC9AA" w14:textId="77777777" w:rsidR="009463B6" w:rsidRDefault="009463B6" w:rsidP="004F2449"/>
        </w:tc>
      </w:tr>
      <w:tr w:rsidR="009463B6" w14:paraId="5552A11C" w14:textId="77777777" w:rsidTr="00125672">
        <w:trPr>
          <w:trHeight w:val="2330"/>
        </w:trPr>
        <w:tc>
          <w:tcPr>
            <w:tcW w:w="2878" w:type="dxa"/>
          </w:tcPr>
          <w:p w14:paraId="1F6F7941" w14:textId="2EF8E3BC" w:rsidR="009463B6" w:rsidRPr="000F6066" w:rsidRDefault="009463B6" w:rsidP="004F2449">
            <w:pPr>
              <w:rPr>
                <w:sz w:val="20"/>
                <w:szCs w:val="20"/>
              </w:rPr>
            </w:pPr>
            <w:r w:rsidRPr="00097E4A">
              <w:rPr>
                <w:b/>
                <w:sz w:val="20"/>
                <w:szCs w:val="20"/>
              </w:rPr>
              <w:t>Question 3.6</w:t>
            </w:r>
            <w:r w:rsidR="00097E4A">
              <w:rPr>
                <w:sz w:val="20"/>
                <w:szCs w:val="20"/>
              </w:rPr>
              <w:t xml:space="preserve"> Data exchange (i</w:t>
            </w:r>
            <w:r w:rsidRPr="009463B6">
              <w:rPr>
                <w:sz w:val="20"/>
                <w:szCs w:val="20"/>
              </w:rPr>
              <w:t>nternal)</w:t>
            </w:r>
          </w:p>
        </w:tc>
        <w:tc>
          <w:tcPr>
            <w:tcW w:w="2697" w:type="dxa"/>
          </w:tcPr>
          <w:p w14:paraId="128B7D65" w14:textId="77777777" w:rsidR="009463B6" w:rsidRPr="000F6066" w:rsidRDefault="009463B6" w:rsidP="004F2449">
            <w:pPr>
              <w:rPr>
                <w:sz w:val="20"/>
                <w:szCs w:val="20"/>
              </w:rPr>
            </w:pPr>
          </w:p>
        </w:tc>
        <w:tc>
          <w:tcPr>
            <w:tcW w:w="2790" w:type="dxa"/>
          </w:tcPr>
          <w:p w14:paraId="0C5649CF" w14:textId="77777777" w:rsidR="009463B6" w:rsidRDefault="009463B6" w:rsidP="004F2449"/>
        </w:tc>
        <w:tc>
          <w:tcPr>
            <w:tcW w:w="5130" w:type="dxa"/>
          </w:tcPr>
          <w:p w14:paraId="655A53ED" w14:textId="77777777" w:rsidR="009463B6" w:rsidRDefault="009463B6" w:rsidP="004F2449"/>
        </w:tc>
      </w:tr>
    </w:tbl>
    <w:p w14:paraId="62115968" w14:textId="77777777" w:rsidR="000F6066" w:rsidRPr="009463B6" w:rsidRDefault="000F6066" w:rsidP="009463B6">
      <w:pPr>
        <w:rPr>
          <w:rFonts w:asciiTheme="majorHAnsi" w:hAnsiTheme="majorHAnsi" w:cstheme="majorHAnsi"/>
          <w:b/>
          <w:sz w:val="24"/>
        </w:rPr>
      </w:pPr>
    </w:p>
    <w:sectPr w:rsidR="000F6066" w:rsidRPr="009463B6" w:rsidSect="000F6066">
      <w:headerReference w:type="default" r:id="rId32"/>
      <w:headerReference w:type="first" r:id="rId33"/>
      <w:footerReference w:type="first" r:id="rId34"/>
      <w:pgSz w:w="15840" w:h="12240" w:orient="landscape"/>
      <w:pgMar w:top="1440" w:right="1440" w:bottom="1440" w:left="108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3B4E1" w14:textId="77777777" w:rsidR="00AB2011" w:rsidRDefault="00AB2011" w:rsidP="00E90764">
      <w:pPr>
        <w:spacing w:after="0" w:line="240" w:lineRule="auto"/>
      </w:pPr>
      <w:r>
        <w:separator/>
      </w:r>
    </w:p>
  </w:endnote>
  <w:endnote w:type="continuationSeparator" w:id="0">
    <w:p w14:paraId="67C775A1" w14:textId="77777777" w:rsidR="00AB2011" w:rsidRDefault="00AB2011" w:rsidP="00E9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B705F" w14:textId="77777777" w:rsidR="0041538A" w:rsidRDefault="004153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6B620" w14:textId="1D9E3C68" w:rsidR="00F51319" w:rsidRDefault="000F6066">
    <w:pPr>
      <w:pStyle w:val="Footer"/>
    </w:pPr>
    <w:r>
      <w:rPr>
        <w:noProof/>
      </w:rPr>
      <mc:AlternateContent>
        <mc:Choice Requires="wps">
          <w:drawing>
            <wp:anchor distT="45720" distB="45720" distL="114300" distR="114300" simplePos="0" relativeHeight="251675648" behindDoc="0" locked="0" layoutInCell="1" allowOverlap="1" wp14:anchorId="3456D52B" wp14:editId="279F7247">
              <wp:simplePos x="0" y="0"/>
              <wp:positionH relativeFrom="page">
                <wp:posOffset>8886825</wp:posOffset>
              </wp:positionH>
              <wp:positionV relativeFrom="page">
                <wp:posOffset>6971030</wp:posOffset>
              </wp:positionV>
              <wp:extent cx="365760" cy="329184"/>
              <wp:effectExtent l="0" t="0" r="0" b="139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noFill/>
                      <a:ln w="9525">
                        <a:noFill/>
                        <a:miter lim="800000"/>
                        <a:headEnd/>
                        <a:tailEnd/>
                      </a:ln>
                    </wps:spPr>
                    <wps:txbx>
                      <w:txbxContent>
                        <w:p w14:paraId="7B359CB0" w14:textId="47213805" w:rsidR="000F6066" w:rsidRPr="00620F0E" w:rsidRDefault="000F6066" w:rsidP="000F6066">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FE0BB6">
                            <w:rPr>
                              <w:b/>
                              <w:noProof/>
                              <w:color w:val="5C8CB6"/>
                              <w:sz w:val="20"/>
                              <w:szCs w:val="20"/>
                            </w:rPr>
                            <w:t>23</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456D52B" id="_x0000_t202" coordsize="21600,21600" o:spt="202" path="m,l,21600r21600,l21600,xe">
              <v:stroke joinstyle="miter"/>
              <v:path gradientshapeok="t" o:connecttype="rect"/>
            </v:shapetype>
            <v:shape id="_x0000_s1031" type="#_x0000_t202" style="position:absolute;margin-left:699.75pt;margin-top:548.9pt;width:28.8pt;height:25.9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" filled="f" stroked="f">
              <v:textbox inset="0,0,0,0">
                <w:txbxContent>
                  <w:p w14:paraId="7B359CB0" w14:textId="47213805" w:rsidR="000F6066" w:rsidRPr="00620F0E" w:rsidRDefault="000F6066" w:rsidP="000F6066">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41538A">
                      <w:rPr>
                        <w:b/>
                        <w:noProof/>
                        <w:color w:val="5C8CB6"/>
                        <w:sz w:val="20"/>
                        <w:szCs w:val="20"/>
                      </w:rPr>
                      <w:t>2</w:t>
                    </w:r>
                    <w:r w:rsidRPr="00620F0E">
                      <w:rPr>
                        <w:b/>
                        <w:noProof/>
                        <w:color w:val="5C8CB6"/>
                        <w:sz w:val="20"/>
                        <w:szCs w:val="20"/>
                      </w:rPr>
                      <w:fldChar w:fldCharType="end"/>
                    </w:r>
                  </w:p>
                </w:txbxContent>
              </v:textbox>
              <w10:wrap anchorx="page" anchory="page"/>
            </v:shape>
          </w:pict>
        </mc:Fallback>
      </mc:AlternateContent>
    </w:r>
    <w:r w:rsidR="00F51319">
      <w:rPr>
        <w:noProof/>
      </w:rPr>
      <mc:AlternateContent>
        <mc:Choice Requires="wps">
          <w:drawing>
            <wp:anchor distT="0" distB="0" distL="114300" distR="114300" simplePos="0" relativeHeight="251662336" behindDoc="1" locked="0" layoutInCell="1" allowOverlap="1" wp14:anchorId="06C984C3" wp14:editId="5A8029A3">
              <wp:simplePos x="0" y="0"/>
              <wp:positionH relativeFrom="page">
                <wp:posOffset>914400</wp:posOffset>
              </wp:positionH>
              <wp:positionV relativeFrom="page">
                <wp:posOffset>9603066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E85B9B5" id="Straight Connector 2"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" strokecolor="#d3dde6" strokeweight="2pt">
              <v:stroke joinstyle="miter"/>
              <w10:wrap anchorx="page" anchory="page"/>
            </v:line>
          </w:pict>
        </mc:Fallback>
      </mc:AlternateContent>
    </w:r>
    <w:r w:rsidR="00F51319">
      <w:rPr>
        <w:noProof/>
      </w:rPr>
      <mc:AlternateContent>
        <mc:Choice Requires="wps">
          <w:drawing>
            <wp:anchor distT="45720" distB="45720" distL="114300" distR="114300" simplePos="0" relativeHeight="251661312" behindDoc="0" locked="0" layoutInCell="1" allowOverlap="1" wp14:anchorId="245D534F" wp14:editId="358E2FB7">
              <wp:simplePos x="0" y="0"/>
              <wp:positionH relativeFrom="page">
                <wp:posOffset>6858000</wp:posOffset>
              </wp:positionH>
              <wp:positionV relativeFrom="page">
                <wp:posOffset>9418320</wp:posOffset>
              </wp:positionV>
              <wp:extent cx="365760" cy="32918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4C87D863" w14:textId="18EC4638" w:rsidR="00F51319" w:rsidRPr="00620F0E" w:rsidRDefault="00F51319" w:rsidP="00620F0E">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FE0BB6">
                            <w:rPr>
                              <w:b/>
                              <w:noProof/>
                              <w:color w:val="5C8CB6"/>
                              <w:sz w:val="20"/>
                              <w:szCs w:val="20"/>
                            </w:rPr>
                            <w:t>23</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45D534F" id="_x0000_s1032" type="#_x0000_t202" style="position:absolute;margin-left:540pt;margin-top:741.6pt;width:28.8pt;height:25.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" stroked="f">
              <v:textbox inset="0,0,0,0">
                <w:txbxContent>
                  <w:p w14:paraId="4C87D863" w14:textId="18EC4638" w:rsidR="00F51319" w:rsidRPr="00620F0E" w:rsidRDefault="00F51319" w:rsidP="00620F0E">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41538A">
                      <w:rPr>
                        <w:b/>
                        <w:noProof/>
                        <w:color w:val="5C8CB6"/>
                        <w:sz w:val="20"/>
                        <w:szCs w:val="20"/>
                      </w:rPr>
                      <w:t>2</w:t>
                    </w:r>
                    <w:r w:rsidRPr="00620F0E">
                      <w:rPr>
                        <w:b/>
                        <w:noProof/>
                        <w:color w:val="5C8CB6"/>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26527" w14:textId="77777777" w:rsidR="0041538A" w:rsidRDefault="0041538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EA43" w14:textId="2768044A" w:rsidR="005A157D" w:rsidRDefault="005A157D">
    <w:pPr>
      <w:pStyle w:val="Footer"/>
    </w:pPr>
    <w:r>
      <w:rPr>
        <w:noProof/>
      </w:rPr>
      <mc:AlternateContent>
        <mc:Choice Requires="wps">
          <w:drawing>
            <wp:anchor distT="45720" distB="45720" distL="114300" distR="114300" simplePos="0" relativeHeight="251671552" behindDoc="0" locked="0" layoutInCell="1" allowOverlap="1" wp14:anchorId="5C7940AE" wp14:editId="6031D3A0">
              <wp:simplePos x="0" y="0"/>
              <wp:positionH relativeFrom="page">
                <wp:posOffset>8886825</wp:posOffset>
              </wp:positionH>
              <wp:positionV relativeFrom="page">
                <wp:posOffset>6971030</wp:posOffset>
              </wp:positionV>
              <wp:extent cx="365760" cy="329184"/>
              <wp:effectExtent l="0" t="0" r="0" b="139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noFill/>
                      <a:ln w="9525">
                        <a:noFill/>
                        <a:miter lim="800000"/>
                        <a:headEnd/>
                        <a:tailEnd/>
                      </a:ln>
                    </wps:spPr>
                    <wps:txbx>
                      <w:txbxContent>
                        <w:p w14:paraId="78C70488" w14:textId="4A0DD118" w:rsidR="005A157D" w:rsidRPr="00620F0E" w:rsidRDefault="005A157D" w:rsidP="005A157D">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0F6066">
                            <w:rPr>
                              <w:b/>
                              <w:noProof/>
                              <w:color w:val="5C8CB6"/>
                              <w:sz w:val="20"/>
                              <w:szCs w:val="20"/>
                            </w:rPr>
                            <w:t>16</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C7940AE" id="_x0000_t202" coordsize="21600,21600" o:spt="202" path="m,l,21600r21600,l21600,xe">
              <v:stroke joinstyle="miter"/>
              <v:path gradientshapeok="t" o:connecttype="rect"/>
            </v:shapetype>
            <v:shape id="_x0000_s1033" type="#_x0000_t202" style="position:absolute;margin-left:699.75pt;margin-top:548.9pt;width:28.8pt;height:25.9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" filled="f" stroked="f">
              <v:textbox inset="0,0,0,0">
                <w:txbxContent>
                  <w:p w14:paraId="78C70488" w14:textId="4A0DD118" w:rsidR="005A157D" w:rsidRPr="00620F0E" w:rsidRDefault="005A157D" w:rsidP="005A157D">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0F6066">
                      <w:rPr>
                        <w:b/>
                        <w:noProof/>
                        <w:color w:val="5C8CB6"/>
                        <w:sz w:val="20"/>
                        <w:szCs w:val="20"/>
                      </w:rPr>
                      <w:t>16</w:t>
                    </w:r>
                    <w:r w:rsidRPr="00620F0E">
                      <w:rPr>
                        <w:b/>
                        <w:noProof/>
                        <w:color w:val="5C8CB6"/>
                        <w:sz w:val="20"/>
                        <w:szCs w:val="20"/>
                      </w:rPr>
                      <w:fldChar w:fldCharType="end"/>
                    </w:r>
                  </w:p>
                </w:txbxContent>
              </v:textbox>
              <w10:wrap anchorx="page" anchory="page"/>
            </v:shape>
          </w:pict>
        </mc:Fallback>
      </mc:AlternateContent>
    </w:r>
    <w:r>
      <w:rPr>
        <w:noProof/>
        <w:sz w:val="20"/>
        <w:szCs w:val="20"/>
      </w:rPr>
      <mc:AlternateContent>
        <mc:Choice Requires="wps">
          <w:drawing>
            <wp:anchor distT="0" distB="0" distL="114300" distR="114300" simplePos="0" relativeHeight="251669504" behindDoc="1" locked="0" layoutInCell="1" allowOverlap="1" wp14:anchorId="6C567703" wp14:editId="4C20A5C0">
              <wp:simplePos x="0" y="0"/>
              <wp:positionH relativeFrom="page">
                <wp:posOffset>685800</wp:posOffset>
              </wp:positionH>
              <wp:positionV relativeFrom="page">
                <wp:posOffset>7144385</wp:posOffset>
              </wp:positionV>
              <wp:extent cx="82772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8277225" cy="0"/>
                      </a:xfrm>
                      <a:prstGeom prst="line">
                        <a:avLst/>
                      </a:prstGeom>
                      <a:noFill/>
                      <a:ln w="25400" cap="flat" cmpd="sng" algn="ctr">
                        <a:solidFill>
                          <a:srgbClr val="D3DDE6"/>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8C232C5" id="Straight Connector 25" o:spid="_x0000_s1026" style="position:absolute;z-index:-2516469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62.55pt" to="705.75pt,5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" strokecolor="#d3dde6" strokeweight="2pt">
              <v:stroke joinstyle="miter"/>
              <w10:wrap anchorx="page" anchory="page"/>
            </v:line>
          </w:pict>
        </mc:Fallback>
      </mc:AlternateContent>
    </w:r>
    <w:r>
      <w:rPr>
        <w:noProof/>
      </w:rPr>
      <mc:AlternateContent>
        <mc:Choice Requires="wps">
          <w:drawing>
            <wp:anchor distT="0" distB="0" distL="114300" distR="114300" simplePos="0" relativeHeight="251667456" behindDoc="1" locked="0" layoutInCell="1" allowOverlap="1" wp14:anchorId="193C8A60" wp14:editId="4295501A">
              <wp:simplePos x="0" y="0"/>
              <wp:positionH relativeFrom="page">
                <wp:posOffset>914400</wp:posOffset>
              </wp:positionH>
              <wp:positionV relativeFrom="page">
                <wp:posOffset>9603066</wp:posOffset>
              </wp:positionV>
              <wp:extent cx="59436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DEBFC5B" id="Straight Connector 23"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" strokecolor="#d3dde6" strokeweight="2pt">
              <v:stroke joinstyle="miter"/>
              <w10:wrap anchorx="page" anchory="page"/>
            </v:line>
          </w:pict>
        </mc:Fallback>
      </mc:AlternateContent>
    </w:r>
    <w:r>
      <w:rPr>
        <w:noProof/>
      </w:rPr>
      <mc:AlternateContent>
        <mc:Choice Requires="wps">
          <w:drawing>
            <wp:anchor distT="45720" distB="45720" distL="114300" distR="114300" simplePos="0" relativeHeight="251666432" behindDoc="0" locked="0" layoutInCell="1" allowOverlap="1" wp14:anchorId="752EDD5E" wp14:editId="21EF5CE1">
              <wp:simplePos x="0" y="0"/>
              <wp:positionH relativeFrom="page">
                <wp:posOffset>6858000</wp:posOffset>
              </wp:positionH>
              <wp:positionV relativeFrom="page">
                <wp:posOffset>9418320</wp:posOffset>
              </wp:positionV>
              <wp:extent cx="365760" cy="329184"/>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294AB707" w14:textId="28F419B3" w:rsidR="005A157D" w:rsidRPr="00620F0E" w:rsidRDefault="005A157D" w:rsidP="005A157D">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0F6066">
                            <w:rPr>
                              <w:b/>
                              <w:noProof/>
                              <w:color w:val="5C8CB6"/>
                              <w:sz w:val="20"/>
                              <w:szCs w:val="20"/>
                            </w:rPr>
                            <w:t>16</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52EDD5E" id="_x0000_s1034" type="#_x0000_t202" style="position:absolute;margin-left:540pt;margin-top:741.6pt;width:28.8pt;height:25.9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" stroked="f">
              <v:textbox inset="0,0,0,0">
                <w:txbxContent>
                  <w:p w14:paraId="294AB707" w14:textId="28F419B3" w:rsidR="005A157D" w:rsidRPr="00620F0E" w:rsidRDefault="005A157D" w:rsidP="005A157D">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0F6066">
                      <w:rPr>
                        <w:b/>
                        <w:noProof/>
                        <w:color w:val="5C8CB6"/>
                        <w:sz w:val="20"/>
                        <w:szCs w:val="20"/>
                      </w:rPr>
                      <w:t>16</w:t>
                    </w:r>
                    <w:r w:rsidRPr="00620F0E">
                      <w:rPr>
                        <w:b/>
                        <w:noProof/>
                        <w:color w:val="5C8CB6"/>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0E46A" w14:textId="77777777" w:rsidR="00AB2011" w:rsidRDefault="00AB2011" w:rsidP="00E90764">
      <w:pPr>
        <w:spacing w:after="0" w:line="240" w:lineRule="auto"/>
      </w:pPr>
      <w:r>
        <w:separator/>
      </w:r>
    </w:p>
  </w:footnote>
  <w:footnote w:type="continuationSeparator" w:id="0">
    <w:p w14:paraId="6FC97200" w14:textId="77777777" w:rsidR="00AB2011" w:rsidRDefault="00AB2011" w:rsidP="00E90764">
      <w:pPr>
        <w:spacing w:after="0" w:line="240" w:lineRule="auto"/>
      </w:pPr>
      <w:r>
        <w:continuationSeparator/>
      </w:r>
    </w:p>
  </w:footnote>
  <w:footnote w:id="1">
    <w:p w14:paraId="6D6FAF85" w14:textId="77777777" w:rsidR="00F51319" w:rsidRPr="00613DBC" w:rsidRDefault="00F51319" w:rsidP="00D172C2">
      <w:pPr>
        <w:pStyle w:val="FootnoteText"/>
        <w:rPr>
          <w:sz w:val="22"/>
          <w:szCs w:val="22"/>
        </w:rPr>
      </w:pPr>
      <w:r w:rsidRPr="00CC0AFB">
        <w:rPr>
          <w:rFonts w:ascii="Calibri" w:hAnsi="Calibri"/>
          <w:sz w:val="20"/>
          <w:szCs w:val="20"/>
          <w:vertAlign w:val="superscript"/>
        </w:rPr>
        <w:t>2</w:t>
      </w:r>
      <w:r w:rsidRPr="00CC0AFB">
        <w:rPr>
          <w:rFonts w:ascii="Calibri" w:hAnsi="Calibri"/>
          <w:sz w:val="20"/>
          <w:szCs w:val="20"/>
        </w:rPr>
        <w:t xml:space="preserve"> CMM is a registered service mark of Carnegie Mellon University.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7AF1C" w14:textId="77777777" w:rsidR="0041538A" w:rsidRDefault="004153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0A89" w14:textId="40ED8303" w:rsidR="00F51319" w:rsidRPr="00620F0E" w:rsidRDefault="00F51319" w:rsidP="00620F0E">
    <w:pPr>
      <w:pStyle w:val="Header"/>
      <w:jc w:val="right"/>
      <w:rPr>
        <w:sz w:val="20"/>
        <w:szCs w:val="20"/>
      </w:rPr>
    </w:pPr>
    <w:r>
      <w:rPr>
        <w:noProof/>
        <w:sz w:val="20"/>
        <w:szCs w:val="20"/>
      </w:rPr>
      <mc:AlternateContent>
        <mc:Choice Requires="wps">
          <w:drawing>
            <wp:anchor distT="0" distB="0" distL="114300" distR="114300" simplePos="0" relativeHeight="251659264" behindDoc="1" locked="0" layoutInCell="1" allowOverlap="1" wp14:anchorId="0DEAD05A" wp14:editId="43E3E7B6">
              <wp:simplePos x="0" y="0"/>
              <wp:positionH relativeFrom="page">
                <wp:posOffset>990600</wp:posOffset>
              </wp:positionH>
              <wp:positionV relativeFrom="page">
                <wp:posOffset>685800</wp:posOffset>
              </wp:positionV>
              <wp:extent cx="5867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674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394DFC3"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8pt,54pt" to="54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" strokecolor="#d3dde6" strokeweight="2pt">
              <v:stroke joinstyle="miter"/>
              <w10:wrap anchorx="page" anchory="page"/>
            </v:line>
          </w:pict>
        </mc:Fallback>
      </mc:AlternateContent>
    </w:r>
    <w:r w:rsidRPr="008669EA">
      <w:t xml:space="preserve"> </w:t>
    </w:r>
    <w:r w:rsidRPr="008669EA">
      <w:rPr>
        <w:noProof/>
        <w:sz w:val="20"/>
        <w:szCs w:val="20"/>
      </w:rPr>
      <w:t>A Facilitator’s Companion Guide to the Informatics-Savvy Health Department Self-Assessment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4EFE" w14:textId="77777777" w:rsidR="0041538A" w:rsidRDefault="0041538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323A" w14:textId="77777777" w:rsidR="00DC6436" w:rsidRPr="00620F0E" w:rsidRDefault="00DC6436" w:rsidP="00620F0E">
    <w:pPr>
      <w:pStyle w:val="Header"/>
      <w:jc w:val="right"/>
      <w:rPr>
        <w:sz w:val="20"/>
        <w:szCs w:val="20"/>
      </w:rPr>
    </w:pPr>
    <w:r>
      <w:rPr>
        <w:noProof/>
        <w:sz w:val="20"/>
        <w:szCs w:val="20"/>
      </w:rPr>
      <mc:AlternateContent>
        <mc:Choice Requires="wps">
          <w:drawing>
            <wp:anchor distT="0" distB="0" distL="114300" distR="114300" simplePos="0" relativeHeight="251677696" behindDoc="1" locked="0" layoutInCell="1" allowOverlap="1" wp14:anchorId="3AF1E012" wp14:editId="6C2DD5E6">
              <wp:simplePos x="0" y="0"/>
              <wp:positionH relativeFrom="page">
                <wp:posOffset>914400</wp:posOffset>
              </wp:positionH>
              <wp:positionV relativeFrom="page">
                <wp:posOffset>685800</wp:posOffset>
              </wp:positionV>
              <wp:extent cx="82677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82677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21C9723" id="Straight Connector 8"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in,54pt" to="7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" strokecolor="#d3dde6" strokeweight="2pt">
              <v:stroke joinstyle="miter"/>
              <w10:wrap anchorx="page" anchory="page"/>
            </v:line>
          </w:pict>
        </mc:Fallback>
      </mc:AlternateContent>
    </w:r>
    <w:r w:rsidRPr="008669EA">
      <w:t xml:space="preserve"> </w:t>
    </w:r>
    <w:r w:rsidRPr="008669EA">
      <w:rPr>
        <w:noProof/>
        <w:sz w:val="20"/>
        <w:szCs w:val="20"/>
      </w:rPr>
      <w:t>A Facilitator’s Companion Guide to the Informatics-Savvy Health Department Self-Assessment</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E3C11" w14:textId="3797CE4B" w:rsidR="005A157D" w:rsidRPr="00620F0E" w:rsidRDefault="005A157D" w:rsidP="005A157D">
    <w:pPr>
      <w:pStyle w:val="Header"/>
      <w:jc w:val="right"/>
      <w:rPr>
        <w:sz w:val="20"/>
        <w:szCs w:val="20"/>
      </w:rPr>
    </w:pPr>
    <w:r w:rsidRPr="008669EA">
      <w:t xml:space="preserve"> </w:t>
    </w:r>
    <w:r w:rsidRPr="008669EA">
      <w:rPr>
        <w:noProof/>
        <w:sz w:val="20"/>
        <w:szCs w:val="20"/>
      </w:rPr>
      <w:t>A Facilitator’s Companion Guide to the Informatics-Savvy Health Department Self-Assessment</w:t>
    </w:r>
  </w:p>
  <w:p w14:paraId="2C5EB0AB" w14:textId="55D1DBA0" w:rsidR="005A157D" w:rsidRDefault="005A157D">
    <w:pPr>
      <w:pStyle w:val="Header"/>
    </w:pPr>
    <w:r>
      <w:rPr>
        <w:noProof/>
        <w:sz w:val="20"/>
        <w:szCs w:val="20"/>
      </w:rPr>
      <mc:AlternateContent>
        <mc:Choice Requires="wps">
          <w:drawing>
            <wp:anchor distT="0" distB="0" distL="114300" distR="114300" simplePos="0" relativeHeight="251664384" behindDoc="1" locked="0" layoutInCell="1" allowOverlap="1" wp14:anchorId="1AF34533" wp14:editId="68960A22">
              <wp:simplePos x="0" y="0"/>
              <wp:positionH relativeFrom="page">
                <wp:posOffset>914400</wp:posOffset>
              </wp:positionH>
              <wp:positionV relativeFrom="page">
                <wp:posOffset>685800</wp:posOffset>
              </wp:positionV>
              <wp:extent cx="82772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8277225"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1DDDEFD" id="Straight Connector 20" o:spid="_x0000_s1026" style="position:absolute;z-index:-2516520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in,54pt" to="723.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" strokecolor="#d3dde6" strokeweight="2pt">
              <v:stroke joinstyle="miter"/>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1B4B6AE"/>
    <w:lvl w:ilvl="0">
      <w:start w:val="1"/>
      <w:numFmt w:val="decimal"/>
      <w:lvlText w:val="%1."/>
      <w:lvlJc w:val="left"/>
      <w:pPr>
        <w:tabs>
          <w:tab w:val="num" w:pos="720"/>
        </w:tabs>
        <w:ind w:left="720" w:hanging="360"/>
      </w:pPr>
    </w:lvl>
  </w:abstractNum>
  <w:abstractNum w:abstractNumId="1">
    <w:nsid w:val="00777A12"/>
    <w:multiLevelType w:val="hybridMultilevel"/>
    <w:tmpl w:val="9148E0C8"/>
    <w:lvl w:ilvl="0" w:tplc="D9B8EA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104AF"/>
    <w:multiLevelType w:val="hybridMultilevel"/>
    <w:tmpl w:val="CF6C0612"/>
    <w:lvl w:ilvl="0" w:tplc="5972F91A">
      <w:start w:val="1"/>
      <w:numFmt w:val="lowerLetter"/>
      <w:pStyle w:val="NumberedListL2"/>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36E0709"/>
    <w:multiLevelType w:val="hybridMultilevel"/>
    <w:tmpl w:val="245C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2313D"/>
    <w:multiLevelType w:val="hybridMultilevel"/>
    <w:tmpl w:val="5B2ACB86"/>
    <w:lvl w:ilvl="0" w:tplc="D9B8EA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04BC6"/>
    <w:multiLevelType w:val="hybridMultilevel"/>
    <w:tmpl w:val="634C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31C83"/>
    <w:multiLevelType w:val="hybridMultilevel"/>
    <w:tmpl w:val="3C90B1D2"/>
    <w:lvl w:ilvl="0" w:tplc="D9B8EA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F0221F"/>
    <w:multiLevelType w:val="hybridMultilevel"/>
    <w:tmpl w:val="8970F4CA"/>
    <w:lvl w:ilvl="0" w:tplc="D9B8EA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07C0C"/>
    <w:multiLevelType w:val="hybridMultilevel"/>
    <w:tmpl w:val="5FDE2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03947"/>
    <w:multiLevelType w:val="hybridMultilevel"/>
    <w:tmpl w:val="32788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24A00"/>
    <w:multiLevelType w:val="hybridMultilevel"/>
    <w:tmpl w:val="2E76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C1AF6"/>
    <w:multiLevelType w:val="hybridMultilevel"/>
    <w:tmpl w:val="3D98840E"/>
    <w:lvl w:ilvl="0" w:tplc="98AA4D5E">
      <w:start w:val="1"/>
      <w:numFmt w:val="bullet"/>
      <w:pStyle w:val="SidebarCheckListSidebarsandImgCaptio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F7C7A"/>
    <w:multiLevelType w:val="hybridMultilevel"/>
    <w:tmpl w:val="2AB27ABA"/>
    <w:lvl w:ilvl="0" w:tplc="D9B8EA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427CB"/>
    <w:multiLevelType w:val="hybridMultilevel"/>
    <w:tmpl w:val="C32C272C"/>
    <w:lvl w:ilvl="0" w:tplc="D9B8EA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E03233"/>
    <w:multiLevelType w:val="hybridMultilevel"/>
    <w:tmpl w:val="F764722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45CB36E3"/>
    <w:multiLevelType w:val="hybridMultilevel"/>
    <w:tmpl w:val="A0F0C538"/>
    <w:lvl w:ilvl="0" w:tplc="D9B8EA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AE2414"/>
    <w:multiLevelType w:val="hybridMultilevel"/>
    <w:tmpl w:val="971C894A"/>
    <w:lvl w:ilvl="0" w:tplc="D9B8EA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F4E6E"/>
    <w:multiLevelType w:val="hybridMultilevel"/>
    <w:tmpl w:val="1EEA6372"/>
    <w:lvl w:ilvl="0" w:tplc="D9B8EA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BD40A4"/>
    <w:multiLevelType w:val="hybridMultilevel"/>
    <w:tmpl w:val="31C4A958"/>
    <w:lvl w:ilvl="0" w:tplc="D9B8EA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8676EC"/>
    <w:multiLevelType w:val="hybridMultilevel"/>
    <w:tmpl w:val="FADC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460E62"/>
    <w:multiLevelType w:val="hybridMultilevel"/>
    <w:tmpl w:val="5CA6C85C"/>
    <w:lvl w:ilvl="0" w:tplc="EA4E4276">
      <w:start w:val="1"/>
      <w:numFmt w:val="bullet"/>
      <w:pStyle w:val="SidebarBulletL2SidebarsandImgCa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786D08"/>
    <w:multiLevelType w:val="hybridMultilevel"/>
    <w:tmpl w:val="188A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895DBC"/>
    <w:multiLevelType w:val="hybridMultilevel"/>
    <w:tmpl w:val="E78A5A14"/>
    <w:lvl w:ilvl="0" w:tplc="06902082">
      <w:start w:val="1"/>
      <w:numFmt w:val="decimal"/>
      <w:pStyle w:val="NumberedListL1"/>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66B322B1"/>
    <w:multiLevelType w:val="hybridMultilevel"/>
    <w:tmpl w:val="56DCCAD8"/>
    <w:lvl w:ilvl="0" w:tplc="D9B8EA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E16165"/>
    <w:multiLevelType w:val="hybridMultilevel"/>
    <w:tmpl w:val="6BB4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9211E5"/>
    <w:multiLevelType w:val="hybridMultilevel"/>
    <w:tmpl w:val="9F565402"/>
    <w:lvl w:ilvl="0" w:tplc="D9B8EA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
  </w:num>
  <w:num w:numId="4">
    <w:abstractNumId w:val="11"/>
  </w:num>
  <w:num w:numId="5">
    <w:abstractNumId w:val="20"/>
  </w:num>
  <w:num w:numId="6">
    <w:abstractNumId w:val="21"/>
  </w:num>
  <w:num w:numId="7">
    <w:abstractNumId w:val="25"/>
  </w:num>
  <w:num w:numId="8">
    <w:abstractNumId w:val="7"/>
  </w:num>
  <w:num w:numId="9">
    <w:abstractNumId w:val="17"/>
  </w:num>
  <w:num w:numId="10">
    <w:abstractNumId w:val="3"/>
  </w:num>
  <w:num w:numId="11">
    <w:abstractNumId w:val="0"/>
  </w:num>
  <w:num w:numId="12">
    <w:abstractNumId w:val="10"/>
  </w:num>
  <w:num w:numId="13">
    <w:abstractNumId w:val="5"/>
  </w:num>
  <w:num w:numId="14">
    <w:abstractNumId w:val="19"/>
  </w:num>
  <w:num w:numId="15">
    <w:abstractNumId w:val="9"/>
  </w:num>
  <w:num w:numId="16">
    <w:abstractNumId w:val="18"/>
  </w:num>
  <w:num w:numId="17">
    <w:abstractNumId w:val="12"/>
  </w:num>
  <w:num w:numId="18">
    <w:abstractNumId w:val="1"/>
  </w:num>
  <w:num w:numId="19">
    <w:abstractNumId w:val="4"/>
  </w:num>
  <w:num w:numId="20">
    <w:abstractNumId w:val="23"/>
  </w:num>
  <w:num w:numId="21">
    <w:abstractNumId w:val="16"/>
  </w:num>
  <w:num w:numId="22">
    <w:abstractNumId w:val="13"/>
  </w:num>
  <w:num w:numId="23">
    <w:abstractNumId w:val="8"/>
  </w:num>
  <w:num w:numId="24">
    <w:abstractNumId w:val="6"/>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DB"/>
    <w:rsid w:val="000119F1"/>
    <w:rsid w:val="000652C5"/>
    <w:rsid w:val="00097C59"/>
    <w:rsid w:val="00097E4A"/>
    <w:rsid w:val="000A1FA5"/>
    <w:rsid w:val="000B23D5"/>
    <w:rsid w:val="000E3E81"/>
    <w:rsid w:val="000F6066"/>
    <w:rsid w:val="00125672"/>
    <w:rsid w:val="00127BA2"/>
    <w:rsid w:val="00127D1B"/>
    <w:rsid w:val="0014477E"/>
    <w:rsid w:val="00144CDD"/>
    <w:rsid w:val="00154E72"/>
    <w:rsid w:val="00164FAB"/>
    <w:rsid w:val="001B7D6C"/>
    <w:rsid w:val="001D46B6"/>
    <w:rsid w:val="002369AA"/>
    <w:rsid w:val="00262E0C"/>
    <w:rsid w:val="00272596"/>
    <w:rsid w:val="00281C52"/>
    <w:rsid w:val="002A7278"/>
    <w:rsid w:val="002C3280"/>
    <w:rsid w:val="002D24E4"/>
    <w:rsid w:val="002E0FF2"/>
    <w:rsid w:val="002E231F"/>
    <w:rsid w:val="003250AF"/>
    <w:rsid w:val="003260C9"/>
    <w:rsid w:val="00334768"/>
    <w:rsid w:val="00347EFC"/>
    <w:rsid w:val="00360A62"/>
    <w:rsid w:val="003D0027"/>
    <w:rsid w:val="003D2648"/>
    <w:rsid w:val="003D615B"/>
    <w:rsid w:val="003F0302"/>
    <w:rsid w:val="00401E2D"/>
    <w:rsid w:val="00402B50"/>
    <w:rsid w:val="0041538A"/>
    <w:rsid w:val="004265CB"/>
    <w:rsid w:val="004633D9"/>
    <w:rsid w:val="0047026B"/>
    <w:rsid w:val="004829F7"/>
    <w:rsid w:val="004B5A62"/>
    <w:rsid w:val="004E1902"/>
    <w:rsid w:val="00515A31"/>
    <w:rsid w:val="00533C88"/>
    <w:rsid w:val="00565B01"/>
    <w:rsid w:val="0058510B"/>
    <w:rsid w:val="005A157D"/>
    <w:rsid w:val="005A2D4E"/>
    <w:rsid w:val="00620F0E"/>
    <w:rsid w:val="00622781"/>
    <w:rsid w:val="00633CE5"/>
    <w:rsid w:val="00654E86"/>
    <w:rsid w:val="006B2D2C"/>
    <w:rsid w:val="006D027C"/>
    <w:rsid w:val="006D3E6E"/>
    <w:rsid w:val="00764407"/>
    <w:rsid w:val="00793628"/>
    <w:rsid w:val="007D21A2"/>
    <w:rsid w:val="007E0FC1"/>
    <w:rsid w:val="007F0BBC"/>
    <w:rsid w:val="007F0E18"/>
    <w:rsid w:val="00825CE5"/>
    <w:rsid w:val="008342EF"/>
    <w:rsid w:val="008418A8"/>
    <w:rsid w:val="0084344B"/>
    <w:rsid w:val="008470A2"/>
    <w:rsid w:val="008669EA"/>
    <w:rsid w:val="00873800"/>
    <w:rsid w:val="00896402"/>
    <w:rsid w:val="00896D42"/>
    <w:rsid w:val="008B6042"/>
    <w:rsid w:val="008F2A59"/>
    <w:rsid w:val="0091615E"/>
    <w:rsid w:val="00925566"/>
    <w:rsid w:val="00930D69"/>
    <w:rsid w:val="009353A2"/>
    <w:rsid w:val="009463B6"/>
    <w:rsid w:val="00975E33"/>
    <w:rsid w:val="00977539"/>
    <w:rsid w:val="009A2A03"/>
    <w:rsid w:val="009E4717"/>
    <w:rsid w:val="009F77D8"/>
    <w:rsid w:val="00A029FF"/>
    <w:rsid w:val="00A0430B"/>
    <w:rsid w:val="00A22286"/>
    <w:rsid w:val="00A77977"/>
    <w:rsid w:val="00A808DB"/>
    <w:rsid w:val="00AB2011"/>
    <w:rsid w:val="00AB531E"/>
    <w:rsid w:val="00AC40AB"/>
    <w:rsid w:val="00AE785C"/>
    <w:rsid w:val="00AF09D3"/>
    <w:rsid w:val="00B05BF6"/>
    <w:rsid w:val="00BC2F57"/>
    <w:rsid w:val="00BE4A0F"/>
    <w:rsid w:val="00C056B5"/>
    <w:rsid w:val="00C272D9"/>
    <w:rsid w:val="00C4187D"/>
    <w:rsid w:val="00C52023"/>
    <w:rsid w:val="00C52BB7"/>
    <w:rsid w:val="00C734B2"/>
    <w:rsid w:val="00CC7906"/>
    <w:rsid w:val="00CD22E5"/>
    <w:rsid w:val="00CF48D3"/>
    <w:rsid w:val="00D172C2"/>
    <w:rsid w:val="00D54EDA"/>
    <w:rsid w:val="00DA4814"/>
    <w:rsid w:val="00DC6436"/>
    <w:rsid w:val="00DE259B"/>
    <w:rsid w:val="00DE32F5"/>
    <w:rsid w:val="00DF263C"/>
    <w:rsid w:val="00E02C07"/>
    <w:rsid w:val="00E21FB2"/>
    <w:rsid w:val="00E45C12"/>
    <w:rsid w:val="00E65861"/>
    <w:rsid w:val="00E7557E"/>
    <w:rsid w:val="00E80B09"/>
    <w:rsid w:val="00E81E5B"/>
    <w:rsid w:val="00E90764"/>
    <w:rsid w:val="00E930BC"/>
    <w:rsid w:val="00E952E3"/>
    <w:rsid w:val="00EB43FF"/>
    <w:rsid w:val="00F0231E"/>
    <w:rsid w:val="00F20560"/>
    <w:rsid w:val="00F25782"/>
    <w:rsid w:val="00F51319"/>
    <w:rsid w:val="00F62681"/>
    <w:rsid w:val="00FB3680"/>
    <w:rsid w:val="00FD6CC5"/>
    <w:rsid w:val="00FE0BB6"/>
    <w:rsid w:val="00FF0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47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B6"/>
    <w:pPr>
      <w:suppressAutoHyphens/>
      <w:autoSpaceDE w:val="0"/>
      <w:autoSpaceDN w:val="0"/>
      <w:adjustRightInd w:val="0"/>
      <w:spacing w:after="120" w:line="264" w:lineRule="auto"/>
      <w:textAlignment w:val="center"/>
    </w:pPr>
    <w:rPr>
      <w:rFonts w:ascii="Calibri" w:hAnsi="Calibri" w:cs="Calibri"/>
      <w:color w:val="000000"/>
    </w:rPr>
  </w:style>
  <w:style w:type="paragraph" w:styleId="Heading1">
    <w:name w:val="heading 1"/>
    <w:basedOn w:val="Normal"/>
    <w:next w:val="Normal"/>
    <w:link w:val="Heading1Char"/>
    <w:uiPriority w:val="99"/>
    <w:qFormat/>
    <w:rsid w:val="004B5A62"/>
    <w:pPr>
      <w:spacing w:before="120" w:after="200" w:line="240" w:lineRule="auto"/>
      <w:outlineLvl w:val="0"/>
    </w:pPr>
    <w:rPr>
      <w:b/>
      <w:color w:val="0075C9"/>
      <w:sz w:val="30"/>
      <w:szCs w:val="30"/>
    </w:rPr>
  </w:style>
  <w:style w:type="paragraph" w:styleId="Heading2">
    <w:name w:val="heading 2"/>
    <w:basedOn w:val="Normal"/>
    <w:next w:val="Normal"/>
    <w:link w:val="Heading2Char"/>
    <w:uiPriority w:val="9"/>
    <w:unhideWhenUsed/>
    <w:qFormat/>
    <w:rsid w:val="000652C5"/>
    <w:pPr>
      <w:spacing w:before="240" w:line="240" w:lineRule="auto"/>
      <w:outlineLvl w:val="1"/>
    </w:pPr>
    <w:rPr>
      <w:b/>
      <w:sz w:val="26"/>
      <w:szCs w:val="26"/>
    </w:rPr>
  </w:style>
  <w:style w:type="paragraph" w:styleId="Heading3">
    <w:name w:val="heading 3"/>
    <w:basedOn w:val="Normal"/>
    <w:next w:val="Normal"/>
    <w:link w:val="Heading3Char"/>
    <w:uiPriority w:val="9"/>
    <w:unhideWhenUsed/>
    <w:qFormat/>
    <w:rsid w:val="00D172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F03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RL">
    <w:name w:val="URL"/>
    <w:uiPriority w:val="99"/>
    <w:qFormat/>
    <w:rsid w:val="004E1902"/>
    <w:rPr>
      <w:b/>
      <w:bCs/>
      <w:color w:val="004987"/>
      <w:u w:val="thick"/>
    </w:rPr>
  </w:style>
  <w:style w:type="paragraph" w:customStyle="1" w:styleId="Footnote">
    <w:name w:val="Footnote"/>
    <w:basedOn w:val="Normal"/>
    <w:qFormat/>
    <w:rsid w:val="000A1FA5"/>
    <w:pPr>
      <w:spacing w:after="80" w:line="200" w:lineRule="atLeast"/>
    </w:pPr>
    <w:rPr>
      <w:rFonts w:ascii="Calibri Light" w:hAnsi="Calibri Light" w:cs="Calibri Light"/>
      <w:sz w:val="16"/>
      <w:szCs w:val="16"/>
    </w:rPr>
  </w:style>
  <w:style w:type="paragraph" w:styleId="ListParagraph">
    <w:name w:val="List Paragraph"/>
    <w:basedOn w:val="Normal"/>
    <w:uiPriority w:val="34"/>
    <w:qFormat/>
    <w:rsid w:val="000A1FA5"/>
    <w:pPr>
      <w:tabs>
        <w:tab w:val="left" w:pos="360"/>
      </w:tabs>
      <w:spacing w:after="80"/>
      <w:ind w:left="720"/>
    </w:pPr>
  </w:style>
  <w:style w:type="paragraph" w:styleId="Title">
    <w:name w:val="Title"/>
    <w:basedOn w:val="Heading1"/>
    <w:next w:val="Normal"/>
    <w:link w:val="TitleChar"/>
    <w:uiPriority w:val="10"/>
    <w:qFormat/>
    <w:rsid w:val="000A1FA5"/>
    <w:rPr>
      <w:b w:val="0"/>
      <w:sz w:val="28"/>
      <w:szCs w:val="28"/>
    </w:rPr>
  </w:style>
  <w:style w:type="character" w:customStyle="1" w:styleId="TitleChar">
    <w:name w:val="Title Char"/>
    <w:basedOn w:val="DefaultParagraphFont"/>
    <w:link w:val="Title"/>
    <w:uiPriority w:val="10"/>
    <w:rsid w:val="000A1FA5"/>
    <w:rPr>
      <w:rFonts w:ascii="Calibri" w:hAnsi="Calibri" w:cs="Calibri"/>
      <w:b/>
      <w:color w:val="9F2241"/>
      <w:sz w:val="28"/>
      <w:szCs w:val="28"/>
    </w:rPr>
  </w:style>
  <w:style w:type="character" w:customStyle="1" w:styleId="Heading1Char">
    <w:name w:val="Heading 1 Char"/>
    <w:basedOn w:val="DefaultParagraphFont"/>
    <w:link w:val="Heading1"/>
    <w:uiPriority w:val="99"/>
    <w:rsid w:val="004B5A62"/>
    <w:rPr>
      <w:rFonts w:ascii="Calibri" w:hAnsi="Calibri" w:cs="Calibri"/>
      <w:b/>
      <w:color w:val="0075C9"/>
      <w:sz w:val="30"/>
      <w:szCs w:val="30"/>
    </w:rPr>
  </w:style>
  <w:style w:type="paragraph" w:styleId="Subtitle">
    <w:name w:val="Subtitle"/>
    <w:basedOn w:val="Normal"/>
    <w:next w:val="Normal"/>
    <w:link w:val="SubtitleChar"/>
    <w:uiPriority w:val="5"/>
    <w:qFormat/>
    <w:rsid w:val="000A1FA5"/>
    <w:pPr>
      <w:spacing w:after="0" w:line="280" w:lineRule="exact"/>
    </w:pPr>
    <w:rPr>
      <w:b/>
      <w:szCs w:val="20"/>
    </w:rPr>
  </w:style>
  <w:style w:type="character" w:customStyle="1" w:styleId="SubtitleChar">
    <w:name w:val="Subtitle Char"/>
    <w:basedOn w:val="DefaultParagraphFont"/>
    <w:link w:val="Subtitle"/>
    <w:uiPriority w:val="5"/>
    <w:rsid w:val="000A1FA5"/>
    <w:rPr>
      <w:b/>
      <w:sz w:val="21"/>
      <w:szCs w:val="20"/>
    </w:rPr>
  </w:style>
  <w:style w:type="character" w:customStyle="1" w:styleId="Heading2Char">
    <w:name w:val="Heading 2 Char"/>
    <w:basedOn w:val="DefaultParagraphFont"/>
    <w:link w:val="Heading2"/>
    <w:uiPriority w:val="9"/>
    <w:rsid w:val="000652C5"/>
    <w:rPr>
      <w:rFonts w:ascii="Calibri" w:hAnsi="Calibri" w:cs="Calibri"/>
      <w:b/>
      <w:color w:val="000000"/>
      <w:sz w:val="26"/>
      <w:szCs w:val="26"/>
    </w:rPr>
  </w:style>
  <w:style w:type="paragraph" w:customStyle="1" w:styleId="Footer-Title">
    <w:name w:val="Footer - Title"/>
    <w:basedOn w:val="Normal"/>
    <w:qFormat/>
    <w:rsid w:val="000A1FA5"/>
    <w:pPr>
      <w:spacing w:after="65" w:line="220" w:lineRule="atLeast"/>
    </w:pPr>
    <w:rPr>
      <w:rFonts w:asciiTheme="minorHAnsi" w:hAnsiTheme="minorHAnsi" w:cstheme="minorHAnsi"/>
      <w:color w:val="3A3C38"/>
      <w:sz w:val="16"/>
      <w:szCs w:val="16"/>
    </w:rPr>
  </w:style>
  <w:style w:type="paragraph" w:styleId="Header">
    <w:name w:val="header"/>
    <w:basedOn w:val="Normal"/>
    <w:link w:val="HeaderChar"/>
    <w:uiPriority w:val="99"/>
    <w:unhideWhenUsed/>
    <w:rsid w:val="00E9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64"/>
    <w:rPr>
      <w:rFonts w:ascii="Calibri" w:hAnsi="Calibri" w:cs="Calibri"/>
      <w:color w:val="000000"/>
    </w:rPr>
  </w:style>
  <w:style w:type="paragraph" w:styleId="Footer">
    <w:name w:val="footer"/>
    <w:basedOn w:val="Normal"/>
    <w:link w:val="FooterChar"/>
    <w:uiPriority w:val="99"/>
    <w:unhideWhenUsed/>
    <w:rsid w:val="00E9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64"/>
    <w:rPr>
      <w:rFonts w:ascii="Calibri" w:hAnsi="Calibri" w:cs="Calibri"/>
      <w:color w:val="000000"/>
    </w:rPr>
  </w:style>
  <w:style w:type="paragraph" w:styleId="NoSpacing">
    <w:name w:val="No Spacing"/>
    <w:link w:val="NoSpacingChar"/>
    <w:uiPriority w:val="1"/>
    <w:qFormat/>
    <w:rsid w:val="007E0FC1"/>
    <w:pPr>
      <w:spacing w:after="0" w:line="240" w:lineRule="auto"/>
    </w:pPr>
    <w:rPr>
      <w:rFonts w:eastAsiaTheme="minorEastAsia"/>
    </w:rPr>
  </w:style>
  <w:style w:type="character" w:customStyle="1" w:styleId="NoSpacingChar">
    <w:name w:val="No Spacing Char"/>
    <w:basedOn w:val="DefaultParagraphFont"/>
    <w:link w:val="NoSpacing"/>
    <w:uiPriority w:val="1"/>
    <w:rsid w:val="007E0FC1"/>
    <w:rPr>
      <w:rFonts w:eastAsiaTheme="minorEastAsia"/>
    </w:rPr>
  </w:style>
  <w:style w:type="paragraph" w:customStyle="1" w:styleId="MainTitleCoverPage">
    <w:name w:val="Main Title (Cover Page)"/>
    <w:basedOn w:val="Normal"/>
    <w:uiPriority w:val="99"/>
    <w:rsid w:val="00DE32F5"/>
    <w:pPr>
      <w:spacing w:after="180" w:line="560" w:lineRule="atLeast"/>
    </w:pPr>
    <w:rPr>
      <w:b/>
      <w:bCs/>
      <w:color w:val="FFFFFF"/>
      <w:sz w:val="56"/>
      <w:szCs w:val="56"/>
    </w:rPr>
  </w:style>
  <w:style w:type="paragraph" w:customStyle="1" w:styleId="SubtitleCoverPage">
    <w:name w:val="Subtitle (Cover Page)"/>
    <w:basedOn w:val="Normal"/>
    <w:uiPriority w:val="99"/>
    <w:rsid w:val="00DE32F5"/>
    <w:pPr>
      <w:spacing w:after="0" w:line="380" w:lineRule="atLeast"/>
    </w:pPr>
    <w:rPr>
      <w:i/>
      <w:iCs/>
      <w:color w:val="FFFFFF"/>
      <w:sz w:val="32"/>
      <w:szCs w:val="32"/>
    </w:rPr>
  </w:style>
  <w:style w:type="paragraph" w:customStyle="1" w:styleId="DateoncoverCoverPage">
    <w:name w:val="Date on cover (Cover Page)"/>
    <w:basedOn w:val="SubtitleCoverPage"/>
    <w:uiPriority w:val="99"/>
    <w:rsid w:val="00DE32F5"/>
    <w:pPr>
      <w:spacing w:line="360" w:lineRule="atLeast"/>
    </w:pPr>
    <w:rPr>
      <w:i w:val="0"/>
      <w:sz w:val="30"/>
      <w:szCs w:val="30"/>
    </w:rPr>
  </w:style>
  <w:style w:type="character" w:customStyle="1" w:styleId="PageLink">
    <w:name w:val="Page Link"/>
    <w:uiPriority w:val="99"/>
    <w:rsid w:val="00BE4A0F"/>
    <w:rPr>
      <w:color w:val="004987"/>
      <w:u w:val="thick"/>
    </w:rPr>
  </w:style>
  <w:style w:type="paragraph" w:customStyle="1" w:styleId="ToCL1">
    <w:name w:val="ToC L1"/>
    <w:basedOn w:val="Normal"/>
    <w:uiPriority w:val="99"/>
    <w:rsid w:val="00633CE5"/>
    <w:pPr>
      <w:tabs>
        <w:tab w:val="right" w:pos="7200"/>
      </w:tabs>
      <w:spacing w:before="144" w:after="0" w:line="280" w:lineRule="atLeast"/>
    </w:pPr>
    <w:rPr>
      <w:b/>
      <w:bCs/>
    </w:rPr>
  </w:style>
  <w:style w:type="paragraph" w:customStyle="1" w:styleId="ToCL2">
    <w:name w:val="ToC L2"/>
    <w:basedOn w:val="Normal"/>
    <w:uiPriority w:val="99"/>
    <w:rsid w:val="00633CE5"/>
    <w:pPr>
      <w:tabs>
        <w:tab w:val="right" w:pos="7200"/>
      </w:tabs>
      <w:spacing w:before="120" w:after="0" w:line="280" w:lineRule="atLeast"/>
      <w:ind w:left="180"/>
    </w:pPr>
  </w:style>
  <w:style w:type="paragraph" w:customStyle="1" w:styleId="ToCL3">
    <w:name w:val="ToC L3"/>
    <w:basedOn w:val="Normal"/>
    <w:uiPriority w:val="99"/>
    <w:rsid w:val="00633CE5"/>
    <w:pPr>
      <w:tabs>
        <w:tab w:val="right" w:pos="7200"/>
      </w:tabs>
      <w:spacing w:after="0" w:line="280" w:lineRule="atLeast"/>
      <w:ind w:left="360"/>
    </w:pPr>
  </w:style>
  <w:style w:type="character" w:customStyle="1" w:styleId="Bold">
    <w:name w:val="Bold"/>
    <w:uiPriority w:val="99"/>
    <w:rsid w:val="00633CE5"/>
    <w:rPr>
      <w:b/>
      <w:bCs/>
    </w:rPr>
  </w:style>
  <w:style w:type="paragraph" w:customStyle="1" w:styleId="NumberedListL1">
    <w:name w:val="Numbered List L1"/>
    <w:basedOn w:val="Normal"/>
    <w:uiPriority w:val="99"/>
    <w:rsid w:val="00AE785C"/>
    <w:pPr>
      <w:numPr>
        <w:numId w:val="2"/>
      </w:numPr>
      <w:spacing w:before="120" w:after="0" w:line="280" w:lineRule="atLeast"/>
      <w:ind w:left="590"/>
    </w:pPr>
  </w:style>
  <w:style w:type="paragraph" w:customStyle="1" w:styleId="NumberedListL2">
    <w:name w:val="Numbered List L2"/>
    <w:basedOn w:val="Normal"/>
    <w:uiPriority w:val="99"/>
    <w:rsid w:val="00AE785C"/>
    <w:pPr>
      <w:numPr>
        <w:numId w:val="3"/>
      </w:numPr>
      <w:spacing w:before="120" w:after="0" w:line="280" w:lineRule="atLeast"/>
      <w:ind w:left="936"/>
    </w:pPr>
  </w:style>
  <w:style w:type="paragraph" w:customStyle="1" w:styleId="LetterListL1">
    <w:name w:val="Letter List L1"/>
    <w:basedOn w:val="Normal"/>
    <w:uiPriority w:val="99"/>
    <w:rsid w:val="00AE785C"/>
    <w:pPr>
      <w:spacing w:before="120" w:after="0" w:line="280" w:lineRule="atLeast"/>
      <w:ind w:left="270" w:hanging="270"/>
    </w:pPr>
  </w:style>
  <w:style w:type="character" w:customStyle="1" w:styleId="Superscript">
    <w:name w:val="Superscript"/>
    <w:uiPriority w:val="99"/>
    <w:rsid w:val="00AE785C"/>
    <w:rPr>
      <w:vertAlign w:val="superscript"/>
    </w:rPr>
  </w:style>
  <w:style w:type="paragraph" w:customStyle="1" w:styleId="SidebarTextonBlueSidebarsandImgCaption">
    <w:name w:val="Sidebar Text on Blue (Sidebars and Img Caption)"/>
    <w:basedOn w:val="Normal"/>
    <w:uiPriority w:val="99"/>
    <w:rsid w:val="00E45C12"/>
    <w:pPr>
      <w:spacing w:after="0" w:line="260" w:lineRule="atLeast"/>
    </w:pPr>
    <w:rPr>
      <w:color w:val="FFFFFF"/>
      <w:sz w:val="20"/>
      <w:szCs w:val="20"/>
    </w:rPr>
  </w:style>
  <w:style w:type="paragraph" w:customStyle="1" w:styleId="SidebarTitleonBlueSidebarsandImgCaption">
    <w:name w:val="Sidebar Title on Blue (Sidebars and Img Caption)"/>
    <w:basedOn w:val="SidebarTextonBlueSidebarsandImgCaption"/>
    <w:next w:val="SidebarTextonBlueSidebarsandImgCaption"/>
    <w:uiPriority w:val="99"/>
    <w:rsid w:val="00E45C12"/>
    <w:rPr>
      <w:b/>
      <w:bCs/>
      <w:sz w:val="22"/>
      <w:szCs w:val="22"/>
    </w:rPr>
  </w:style>
  <w:style w:type="paragraph" w:customStyle="1" w:styleId="ImgCaptionTitleonWhiteSidebarsandImgCaption">
    <w:name w:val="Img CaptionTitle on White (Sidebars and Img Caption)"/>
    <w:basedOn w:val="Normal"/>
    <w:uiPriority w:val="99"/>
    <w:rsid w:val="00B05BF6"/>
    <w:pPr>
      <w:spacing w:after="0" w:line="280" w:lineRule="atLeast"/>
    </w:pPr>
    <w:rPr>
      <w:b/>
      <w:bCs/>
      <w:color w:val="0074C8"/>
    </w:rPr>
  </w:style>
  <w:style w:type="paragraph" w:customStyle="1" w:styleId="ImgCaptiononWhiteSidebarsandImgCaption">
    <w:name w:val="Img Caption on White (Sidebars and Img Caption)"/>
    <w:basedOn w:val="Normal"/>
    <w:uiPriority w:val="99"/>
    <w:rsid w:val="00B05BF6"/>
    <w:pPr>
      <w:spacing w:after="0" w:line="260" w:lineRule="atLeast"/>
    </w:pPr>
    <w:rPr>
      <w:sz w:val="20"/>
      <w:szCs w:val="20"/>
    </w:rPr>
  </w:style>
  <w:style w:type="paragraph" w:customStyle="1" w:styleId="BasicParagraph">
    <w:name w:val="[Basic Paragraph]"/>
    <w:basedOn w:val="Normal"/>
    <w:uiPriority w:val="99"/>
    <w:rsid w:val="00E930BC"/>
    <w:pPr>
      <w:spacing w:after="90" w:line="280" w:lineRule="atLeast"/>
    </w:pPr>
  </w:style>
  <w:style w:type="paragraph" w:customStyle="1" w:styleId="SidebarCheckListSidebarsandImgCaption">
    <w:name w:val="Sidebar Check List (Sidebars and Img Caption)"/>
    <w:basedOn w:val="Normal"/>
    <w:uiPriority w:val="99"/>
    <w:rsid w:val="00825CE5"/>
    <w:pPr>
      <w:numPr>
        <w:numId w:val="4"/>
      </w:numPr>
      <w:spacing w:before="120" w:after="0" w:line="260" w:lineRule="atLeast"/>
      <w:ind w:left="288" w:hanging="288"/>
    </w:pPr>
    <w:rPr>
      <w:color w:val="FFFFFF"/>
      <w:sz w:val="20"/>
      <w:szCs w:val="20"/>
    </w:rPr>
  </w:style>
  <w:style w:type="paragraph" w:customStyle="1" w:styleId="SidebarBulletL2SidebarsandImgCaption">
    <w:name w:val="Sidebar Bullet L2 (Sidebars and Img Caption)"/>
    <w:basedOn w:val="Normal"/>
    <w:uiPriority w:val="99"/>
    <w:rsid w:val="00825CE5"/>
    <w:pPr>
      <w:numPr>
        <w:numId w:val="5"/>
      </w:numPr>
      <w:tabs>
        <w:tab w:val="left" w:pos="270"/>
      </w:tabs>
      <w:spacing w:after="47" w:line="260" w:lineRule="atLeast"/>
      <w:ind w:left="576" w:hanging="288"/>
    </w:pPr>
    <w:rPr>
      <w:color w:val="FFFFFF"/>
      <w:sz w:val="20"/>
      <w:szCs w:val="20"/>
    </w:rPr>
  </w:style>
  <w:style w:type="paragraph" w:customStyle="1" w:styleId="PullQuotewSidebarsandImgCaption">
    <w:name w:val="Pull Quote w/&quot; (Sidebars and Img Caption)"/>
    <w:basedOn w:val="Normal"/>
    <w:uiPriority w:val="99"/>
    <w:rsid w:val="00127D1B"/>
    <w:pPr>
      <w:spacing w:after="90" w:line="340" w:lineRule="atLeast"/>
      <w:ind w:left="90" w:hanging="90"/>
    </w:pPr>
    <w:rPr>
      <w:b/>
      <w:bCs/>
      <w:i/>
      <w:iCs/>
      <w:color w:val="FFFFFF"/>
      <w:sz w:val="28"/>
      <w:szCs w:val="28"/>
    </w:rPr>
  </w:style>
  <w:style w:type="paragraph" w:customStyle="1" w:styleId="PullQuotenoSidebarsandImgCaption">
    <w:name w:val="Pull Quote no &quot; (Sidebars and Img Caption)"/>
    <w:basedOn w:val="PullQuotewSidebarsandImgCaption"/>
    <w:uiPriority w:val="99"/>
    <w:rsid w:val="008F2A59"/>
    <w:pPr>
      <w:ind w:left="0" w:firstLine="0"/>
    </w:pPr>
  </w:style>
  <w:style w:type="paragraph" w:customStyle="1" w:styleId="TableHeadCenterTablesandCharts">
    <w:name w:val="Table Head Center (Tables and Charts)"/>
    <w:basedOn w:val="Normal"/>
    <w:uiPriority w:val="99"/>
    <w:rsid w:val="00E21FB2"/>
    <w:pPr>
      <w:spacing w:after="90" w:line="220" w:lineRule="atLeast"/>
      <w:jc w:val="center"/>
    </w:pPr>
    <w:rPr>
      <w:b/>
      <w:bCs/>
      <w:color w:val="FFFFFF"/>
    </w:rPr>
  </w:style>
  <w:style w:type="paragraph" w:customStyle="1" w:styleId="TableTextTablesandCharts">
    <w:name w:val="Table Text (Tables and Charts)"/>
    <w:basedOn w:val="Normal"/>
    <w:uiPriority w:val="99"/>
    <w:rsid w:val="00E21FB2"/>
    <w:pPr>
      <w:spacing w:after="90" w:line="220" w:lineRule="atLeast"/>
    </w:pPr>
    <w:rPr>
      <w:sz w:val="20"/>
      <w:szCs w:val="20"/>
    </w:rPr>
  </w:style>
  <w:style w:type="paragraph" w:customStyle="1" w:styleId="TableTitleTablesandCharts">
    <w:name w:val="Table Title (Tables and Charts)"/>
    <w:basedOn w:val="Normal"/>
    <w:uiPriority w:val="99"/>
    <w:rsid w:val="0084344B"/>
    <w:pPr>
      <w:spacing w:after="90" w:line="260" w:lineRule="atLeast"/>
    </w:pPr>
    <w:rPr>
      <w:b/>
      <w:bCs/>
      <w:color w:val="0074C8"/>
      <w:sz w:val="28"/>
      <w:szCs w:val="28"/>
    </w:rPr>
  </w:style>
  <w:style w:type="paragraph" w:customStyle="1" w:styleId="TableHeadLeftTablesandCharts">
    <w:name w:val="Table Head Left (Tables and Charts)"/>
    <w:basedOn w:val="TableHeadCenterTablesandCharts"/>
    <w:uiPriority w:val="99"/>
    <w:rsid w:val="007F0E18"/>
    <w:pPr>
      <w:jc w:val="left"/>
    </w:pPr>
  </w:style>
  <w:style w:type="paragraph" w:styleId="TOCHeading">
    <w:name w:val="TOC Heading"/>
    <w:basedOn w:val="Heading1"/>
    <w:next w:val="Normal"/>
    <w:uiPriority w:val="39"/>
    <w:unhideWhenUsed/>
    <w:qFormat/>
    <w:rsid w:val="008B6042"/>
    <w:pPr>
      <w:keepNext/>
      <w:keepLines/>
      <w:suppressAutoHyphens w:val="0"/>
      <w:autoSpaceDE/>
      <w:autoSpaceDN/>
      <w:adjustRightInd/>
      <w:spacing w:before="240" w:after="0" w:line="259" w:lineRule="auto"/>
      <w:textAlignment w:val="auto"/>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4633D9"/>
    <w:pPr>
      <w:tabs>
        <w:tab w:val="right" w:leader="dot" w:pos="9350"/>
      </w:tabs>
      <w:spacing w:after="100"/>
    </w:pPr>
  </w:style>
  <w:style w:type="paragraph" w:styleId="TOC1">
    <w:name w:val="toc 1"/>
    <w:basedOn w:val="Normal"/>
    <w:next w:val="Normal"/>
    <w:autoRedefine/>
    <w:uiPriority w:val="39"/>
    <w:unhideWhenUsed/>
    <w:rsid w:val="008B6042"/>
    <w:pPr>
      <w:spacing w:after="100"/>
    </w:pPr>
  </w:style>
  <w:style w:type="character" w:styleId="Hyperlink">
    <w:name w:val="Hyperlink"/>
    <w:basedOn w:val="DefaultParagraphFont"/>
    <w:uiPriority w:val="99"/>
    <w:unhideWhenUsed/>
    <w:rsid w:val="008B6042"/>
    <w:rPr>
      <w:color w:val="0563C1" w:themeColor="hyperlink"/>
      <w:u w:val="single"/>
    </w:rPr>
  </w:style>
  <w:style w:type="character" w:styleId="FollowedHyperlink">
    <w:name w:val="FollowedHyperlink"/>
    <w:basedOn w:val="DefaultParagraphFont"/>
    <w:uiPriority w:val="99"/>
    <w:semiHidden/>
    <w:unhideWhenUsed/>
    <w:rsid w:val="002A7278"/>
    <w:rPr>
      <w:color w:val="954F72" w:themeColor="followedHyperlink"/>
      <w:u w:val="single"/>
    </w:rPr>
  </w:style>
  <w:style w:type="paragraph" w:styleId="IntenseQuote">
    <w:name w:val="Intense Quote"/>
    <w:basedOn w:val="Normal"/>
    <w:next w:val="Normal"/>
    <w:link w:val="IntenseQuoteChar"/>
    <w:uiPriority w:val="30"/>
    <w:qFormat/>
    <w:rsid w:val="0087380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73800"/>
    <w:rPr>
      <w:rFonts w:ascii="Calibri" w:hAnsi="Calibri" w:cs="Calibri"/>
      <w:i/>
      <w:iCs/>
      <w:color w:val="4472C4" w:themeColor="accent1"/>
    </w:rPr>
  </w:style>
  <w:style w:type="character" w:styleId="FootnoteReference">
    <w:name w:val="footnote reference"/>
    <w:basedOn w:val="DefaultParagraphFont"/>
    <w:uiPriority w:val="99"/>
    <w:unhideWhenUsed/>
    <w:qFormat/>
    <w:rsid w:val="00D172C2"/>
    <w:rPr>
      <w:vertAlign w:val="superscript"/>
    </w:rPr>
  </w:style>
  <w:style w:type="paragraph" w:styleId="FootnoteText">
    <w:name w:val="footnote text"/>
    <w:link w:val="FootnoteTextChar"/>
    <w:uiPriority w:val="99"/>
    <w:unhideWhenUsed/>
    <w:qFormat/>
    <w:rsid w:val="00D172C2"/>
    <w:pPr>
      <w:spacing w:after="0" w:line="180" w:lineRule="exact"/>
    </w:pPr>
    <w:rPr>
      <w:rFonts w:asciiTheme="majorHAnsi" w:eastAsiaTheme="minorEastAsia" w:hAnsiTheme="majorHAnsi" w:cs="Calibri"/>
      <w:color w:val="000000"/>
      <w:sz w:val="16"/>
      <w:szCs w:val="16"/>
    </w:rPr>
  </w:style>
  <w:style w:type="character" w:customStyle="1" w:styleId="FootnoteTextChar">
    <w:name w:val="Footnote Text Char"/>
    <w:basedOn w:val="DefaultParagraphFont"/>
    <w:link w:val="FootnoteText"/>
    <w:uiPriority w:val="99"/>
    <w:rsid w:val="00D172C2"/>
    <w:rPr>
      <w:rFonts w:asciiTheme="majorHAnsi" w:eastAsiaTheme="minorEastAsia" w:hAnsiTheme="majorHAnsi" w:cs="Calibri"/>
      <w:color w:val="000000"/>
      <w:sz w:val="16"/>
      <w:szCs w:val="16"/>
    </w:rPr>
  </w:style>
  <w:style w:type="character" w:customStyle="1" w:styleId="Heading3Char">
    <w:name w:val="Heading 3 Char"/>
    <w:basedOn w:val="DefaultParagraphFont"/>
    <w:link w:val="Heading3"/>
    <w:uiPriority w:val="9"/>
    <w:rsid w:val="00D172C2"/>
    <w:rPr>
      <w:rFonts w:asciiTheme="majorHAnsi" w:eastAsiaTheme="majorEastAsia" w:hAnsiTheme="majorHAnsi" w:cstheme="majorBidi"/>
      <w:color w:val="1F3763" w:themeColor="accent1" w:themeShade="7F"/>
      <w:sz w:val="24"/>
      <w:szCs w:val="24"/>
    </w:rPr>
  </w:style>
  <w:style w:type="paragraph" w:styleId="BodyText">
    <w:name w:val="Body Text"/>
    <w:link w:val="BodyTextChar"/>
    <w:uiPriority w:val="99"/>
    <w:unhideWhenUsed/>
    <w:qFormat/>
    <w:rsid w:val="000119F1"/>
    <w:pPr>
      <w:spacing w:before="240" w:after="100" w:line="276" w:lineRule="auto"/>
    </w:pPr>
    <w:rPr>
      <w:rFonts w:ascii="Calibri" w:eastAsiaTheme="minorEastAsia" w:hAnsi="Calibri" w:cs="Calibri"/>
      <w:color w:val="000000" w:themeColor="text1"/>
    </w:rPr>
  </w:style>
  <w:style w:type="character" w:customStyle="1" w:styleId="BodyTextChar">
    <w:name w:val="Body Text Char"/>
    <w:basedOn w:val="DefaultParagraphFont"/>
    <w:link w:val="BodyText"/>
    <w:uiPriority w:val="99"/>
    <w:rsid w:val="000119F1"/>
    <w:rPr>
      <w:rFonts w:ascii="Calibri" w:eastAsiaTheme="minorEastAsia" w:hAnsi="Calibri" w:cs="Calibri"/>
      <w:color w:val="000000" w:themeColor="text1"/>
    </w:rPr>
  </w:style>
  <w:style w:type="paragraph" w:styleId="TOC3">
    <w:name w:val="toc 3"/>
    <w:basedOn w:val="Normal"/>
    <w:next w:val="Normal"/>
    <w:autoRedefine/>
    <w:uiPriority w:val="39"/>
    <w:unhideWhenUsed/>
    <w:rsid w:val="002369AA"/>
    <w:pPr>
      <w:spacing w:after="100"/>
      <w:ind w:left="440"/>
    </w:pPr>
  </w:style>
  <w:style w:type="character" w:customStyle="1" w:styleId="Heading4Char">
    <w:name w:val="Heading 4 Char"/>
    <w:basedOn w:val="DefaultParagraphFont"/>
    <w:link w:val="Heading4"/>
    <w:uiPriority w:val="9"/>
    <w:rsid w:val="003F0302"/>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F2056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keLight">
    <w:name w:val="Make Light"/>
    <w:basedOn w:val="DefaultParagraphFont"/>
    <w:uiPriority w:val="1"/>
    <w:qFormat/>
    <w:rsid w:val="00F20560"/>
    <w:rPr>
      <w:rFonts w:ascii="Calibri Light" w:hAnsi="Calibri Ligh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B6"/>
    <w:pPr>
      <w:suppressAutoHyphens/>
      <w:autoSpaceDE w:val="0"/>
      <w:autoSpaceDN w:val="0"/>
      <w:adjustRightInd w:val="0"/>
      <w:spacing w:after="120" w:line="264" w:lineRule="auto"/>
      <w:textAlignment w:val="center"/>
    </w:pPr>
    <w:rPr>
      <w:rFonts w:ascii="Calibri" w:hAnsi="Calibri" w:cs="Calibri"/>
      <w:color w:val="000000"/>
    </w:rPr>
  </w:style>
  <w:style w:type="paragraph" w:styleId="Heading1">
    <w:name w:val="heading 1"/>
    <w:basedOn w:val="Normal"/>
    <w:next w:val="Normal"/>
    <w:link w:val="Heading1Char"/>
    <w:uiPriority w:val="99"/>
    <w:qFormat/>
    <w:rsid w:val="004B5A62"/>
    <w:pPr>
      <w:spacing w:before="120" w:after="200" w:line="240" w:lineRule="auto"/>
      <w:outlineLvl w:val="0"/>
    </w:pPr>
    <w:rPr>
      <w:b/>
      <w:color w:val="0075C9"/>
      <w:sz w:val="30"/>
      <w:szCs w:val="30"/>
    </w:rPr>
  </w:style>
  <w:style w:type="paragraph" w:styleId="Heading2">
    <w:name w:val="heading 2"/>
    <w:basedOn w:val="Normal"/>
    <w:next w:val="Normal"/>
    <w:link w:val="Heading2Char"/>
    <w:uiPriority w:val="9"/>
    <w:unhideWhenUsed/>
    <w:qFormat/>
    <w:rsid w:val="000652C5"/>
    <w:pPr>
      <w:spacing w:before="240" w:line="240" w:lineRule="auto"/>
      <w:outlineLvl w:val="1"/>
    </w:pPr>
    <w:rPr>
      <w:b/>
      <w:sz w:val="26"/>
      <w:szCs w:val="26"/>
    </w:rPr>
  </w:style>
  <w:style w:type="paragraph" w:styleId="Heading3">
    <w:name w:val="heading 3"/>
    <w:basedOn w:val="Normal"/>
    <w:next w:val="Normal"/>
    <w:link w:val="Heading3Char"/>
    <w:uiPriority w:val="9"/>
    <w:unhideWhenUsed/>
    <w:qFormat/>
    <w:rsid w:val="00D172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F03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RL">
    <w:name w:val="URL"/>
    <w:uiPriority w:val="99"/>
    <w:qFormat/>
    <w:rsid w:val="004E1902"/>
    <w:rPr>
      <w:b/>
      <w:bCs/>
      <w:color w:val="004987"/>
      <w:u w:val="thick"/>
    </w:rPr>
  </w:style>
  <w:style w:type="paragraph" w:customStyle="1" w:styleId="Footnote">
    <w:name w:val="Footnote"/>
    <w:basedOn w:val="Normal"/>
    <w:qFormat/>
    <w:rsid w:val="000A1FA5"/>
    <w:pPr>
      <w:spacing w:after="80" w:line="200" w:lineRule="atLeast"/>
    </w:pPr>
    <w:rPr>
      <w:rFonts w:ascii="Calibri Light" w:hAnsi="Calibri Light" w:cs="Calibri Light"/>
      <w:sz w:val="16"/>
      <w:szCs w:val="16"/>
    </w:rPr>
  </w:style>
  <w:style w:type="paragraph" w:styleId="ListParagraph">
    <w:name w:val="List Paragraph"/>
    <w:basedOn w:val="Normal"/>
    <w:uiPriority w:val="34"/>
    <w:qFormat/>
    <w:rsid w:val="000A1FA5"/>
    <w:pPr>
      <w:tabs>
        <w:tab w:val="left" w:pos="360"/>
      </w:tabs>
      <w:spacing w:after="80"/>
      <w:ind w:left="720"/>
    </w:pPr>
  </w:style>
  <w:style w:type="paragraph" w:styleId="Title">
    <w:name w:val="Title"/>
    <w:basedOn w:val="Heading1"/>
    <w:next w:val="Normal"/>
    <w:link w:val="TitleChar"/>
    <w:uiPriority w:val="10"/>
    <w:qFormat/>
    <w:rsid w:val="000A1FA5"/>
    <w:rPr>
      <w:b w:val="0"/>
      <w:sz w:val="28"/>
      <w:szCs w:val="28"/>
    </w:rPr>
  </w:style>
  <w:style w:type="character" w:customStyle="1" w:styleId="TitleChar">
    <w:name w:val="Title Char"/>
    <w:basedOn w:val="DefaultParagraphFont"/>
    <w:link w:val="Title"/>
    <w:uiPriority w:val="10"/>
    <w:rsid w:val="000A1FA5"/>
    <w:rPr>
      <w:rFonts w:ascii="Calibri" w:hAnsi="Calibri" w:cs="Calibri"/>
      <w:b/>
      <w:color w:val="9F2241"/>
      <w:sz w:val="28"/>
      <w:szCs w:val="28"/>
    </w:rPr>
  </w:style>
  <w:style w:type="character" w:customStyle="1" w:styleId="Heading1Char">
    <w:name w:val="Heading 1 Char"/>
    <w:basedOn w:val="DefaultParagraphFont"/>
    <w:link w:val="Heading1"/>
    <w:uiPriority w:val="99"/>
    <w:rsid w:val="004B5A62"/>
    <w:rPr>
      <w:rFonts w:ascii="Calibri" w:hAnsi="Calibri" w:cs="Calibri"/>
      <w:b/>
      <w:color w:val="0075C9"/>
      <w:sz w:val="30"/>
      <w:szCs w:val="30"/>
    </w:rPr>
  </w:style>
  <w:style w:type="paragraph" w:styleId="Subtitle">
    <w:name w:val="Subtitle"/>
    <w:basedOn w:val="Normal"/>
    <w:next w:val="Normal"/>
    <w:link w:val="SubtitleChar"/>
    <w:uiPriority w:val="5"/>
    <w:qFormat/>
    <w:rsid w:val="000A1FA5"/>
    <w:pPr>
      <w:spacing w:after="0" w:line="280" w:lineRule="exact"/>
    </w:pPr>
    <w:rPr>
      <w:b/>
      <w:szCs w:val="20"/>
    </w:rPr>
  </w:style>
  <w:style w:type="character" w:customStyle="1" w:styleId="SubtitleChar">
    <w:name w:val="Subtitle Char"/>
    <w:basedOn w:val="DefaultParagraphFont"/>
    <w:link w:val="Subtitle"/>
    <w:uiPriority w:val="5"/>
    <w:rsid w:val="000A1FA5"/>
    <w:rPr>
      <w:b/>
      <w:sz w:val="21"/>
      <w:szCs w:val="20"/>
    </w:rPr>
  </w:style>
  <w:style w:type="character" w:customStyle="1" w:styleId="Heading2Char">
    <w:name w:val="Heading 2 Char"/>
    <w:basedOn w:val="DefaultParagraphFont"/>
    <w:link w:val="Heading2"/>
    <w:uiPriority w:val="9"/>
    <w:rsid w:val="000652C5"/>
    <w:rPr>
      <w:rFonts w:ascii="Calibri" w:hAnsi="Calibri" w:cs="Calibri"/>
      <w:b/>
      <w:color w:val="000000"/>
      <w:sz w:val="26"/>
      <w:szCs w:val="26"/>
    </w:rPr>
  </w:style>
  <w:style w:type="paragraph" w:customStyle="1" w:styleId="Footer-Title">
    <w:name w:val="Footer - Title"/>
    <w:basedOn w:val="Normal"/>
    <w:qFormat/>
    <w:rsid w:val="000A1FA5"/>
    <w:pPr>
      <w:spacing w:after="65" w:line="220" w:lineRule="atLeast"/>
    </w:pPr>
    <w:rPr>
      <w:rFonts w:asciiTheme="minorHAnsi" w:hAnsiTheme="minorHAnsi" w:cstheme="minorHAnsi"/>
      <w:color w:val="3A3C38"/>
      <w:sz w:val="16"/>
      <w:szCs w:val="16"/>
    </w:rPr>
  </w:style>
  <w:style w:type="paragraph" w:styleId="Header">
    <w:name w:val="header"/>
    <w:basedOn w:val="Normal"/>
    <w:link w:val="HeaderChar"/>
    <w:uiPriority w:val="99"/>
    <w:unhideWhenUsed/>
    <w:rsid w:val="00E9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64"/>
    <w:rPr>
      <w:rFonts w:ascii="Calibri" w:hAnsi="Calibri" w:cs="Calibri"/>
      <w:color w:val="000000"/>
    </w:rPr>
  </w:style>
  <w:style w:type="paragraph" w:styleId="Footer">
    <w:name w:val="footer"/>
    <w:basedOn w:val="Normal"/>
    <w:link w:val="FooterChar"/>
    <w:uiPriority w:val="99"/>
    <w:unhideWhenUsed/>
    <w:rsid w:val="00E9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64"/>
    <w:rPr>
      <w:rFonts w:ascii="Calibri" w:hAnsi="Calibri" w:cs="Calibri"/>
      <w:color w:val="000000"/>
    </w:rPr>
  </w:style>
  <w:style w:type="paragraph" w:styleId="NoSpacing">
    <w:name w:val="No Spacing"/>
    <w:link w:val="NoSpacingChar"/>
    <w:uiPriority w:val="1"/>
    <w:qFormat/>
    <w:rsid w:val="007E0FC1"/>
    <w:pPr>
      <w:spacing w:after="0" w:line="240" w:lineRule="auto"/>
    </w:pPr>
    <w:rPr>
      <w:rFonts w:eastAsiaTheme="minorEastAsia"/>
    </w:rPr>
  </w:style>
  <w:style w:type="character" w:customStyle="1" w:styleId="NoSpacingChar">
    <w:name w:val="No Spacing Char"/>
    <w:basedOn w:val="DefaultParagraphFont"/>
    <w:link w:val="NoSpacing"/>
    <w:uiPriority w:val="1"/>
    <w:rsid w:val="007E0FC1"/>
    <w:rPr>
      <w:rFonts w:eastAsiaTheme="minorEastAsia"/>
    </w:rPr>
  </w:style>
  <w:style w:type="paragraph" w:customStyle="1" w:styleId="MainTitleCoverPage">
    <w:name w:val="Main Title (Cover Page)"/>
    <w:basedOn w:val="Normal"/>
    <w:uiPriority w:val="99"/>
    <w:rsid w:val="00DE32F5"/>
    <w:pPr>
      <w:spacing w:after="180" w:line="560" w:lineRule="atLeast"/>
    </w:pPr>
    <w:rPr>
      <w:b/>
      <w:bCs/>
      <w:color w:val="FFFFFF"/>
      <w:sz w:val="56"/>
      <w:szCs w:val="56"/>
    </w:rPr>
  </w:style>
  <w:style w:type="paragraph" w:customStyle="1" w:styleId="SubtitleCoverPage">
    <w:name w:val="Subtitle (Cover Page)"/>
    <w:basedOn w:val="Normal"/>
    <w:uiPriority w:val="99"/>
    <w:rsid w:val="00DE32F5"/>
    <w:pPr>
      <w:spacing w:after="0" w:line="380" w:lineRule="atLeast"/>
    </w:pPr>
    <w:rPr>
      <w:i/>
      <w:iCs/>
      <w:color w:val="FFFFFF"/>
      <w:sz w:val="32"/>
      <w:szCs w:val="32"/>
    </w:rPr>
  </w:style>
  <w:style w:type="paragraph" w:customStyle="1" w:styleId="DateoncoverCoverPage">
    <w:name w:val="Date on cover (Cover Page)"/>
    <w:basedOn w:val="SubtitleCoverPage"/>
    <w:uiPriority w:val="99"/>
    <w:rsid w:val="00DE32F5"/>
    <w:pPr>
      <w:spacing w:line="360" w:lineRule="atLeast"/>
    </w:pPr>
    <w:rPr>
      <w:i w:val="0"/>
      <w:sz w:val="30"/>
      <w:szCs w:val="30"/>
    </w:rPr>
  </w:style>
  <w:style w:type="character" w:customStyle="1" w:styleId="PageLink">
    <w:name w:val="Page Link"/>
    <w:uiPriority w:val="99"/>
    <w:rsid w:val="00BE4A0F"/>
    <w:rPr>
      <w:color w:val="004987"/>
      <w:u w:val="thick"/>
    </w:rPr>
  </w:style>
  <w:style w:type="paragraph" w:customStyle="1" w:styleId="ToCL1">
    <w:name w:val="ToC L1"/>
    <w:basedOn w:val="Normal"/>
    <w:uiPriority w:val="99"/>
    <w:rsid w:val="00633CE5"/>
    <w:pPr>
      <w:tabs>
        <w:tab w:val="right" w:pos="7200"/>
      </w:tabs>
      <w:spacing w:before="144" w:after="0" w:line="280" w:lineRule="atLeast"/>
    </w:pPr>
    <w:rPr>
      <w:b/>
      <w:bCs/>
    </w:rPr>
  </w:style>
  <w:style w:type="paragraph" w:customStyle="1" w:styleId="ToCL2">
    <w:name w:val="ToC L2"/>
    <w:basedOn w:val="Normal"/>
    <w:uiPriority w:val="99"/>
    <w:rsid w:val="00633CE5"/>
    <w:pPr>
      <w:tabs>
        <w:tab w:val="right" w:pos="7200"/>
      </w:tabs>
      <w:spacing w:before="120" w:after="0" w:line="280" w:lineRule="atLeast"/>
      <w:ind w:left="180"/>
    </w:pPr>
  </w:style>
  <w:style w:type="paragraph" w:customStyle="1" w:styleId="ToCL3">
    <w:name w:val="ToC L3"/>
    <w:basedOn w:val="Normal"/>
    <w:uiPriority w:val="99"/>
    <w:rsid w:val="00633CE5"/>
    <w:pPr>
      <w:tabs>
        <w:tab w:val="right" w:pos="7200"/>
      </w:tabs>
      <w:spacing w:after="0" w:line="280" w:lineRule="atLeast"/>
      <w:ind w:left="360"/>
    </w:pPr>
  </w:style>
  <w:style w:type="character" w:customStyle="1" w:styleId="Bold">
    <w:name w:val="Bold"/>
    <w:uiPriority w:val="99"/>
    <w:rsid w:val="00633CE5"/>
    <w:rPr>
      <w:b/>
      <w:bCs/>
    </w:rPr>
  </w:style>
  <w:style w:type="paragraph" w:customStyle="1" w:styleId="NumberedListL1">
    <w:name w:val="Numbered List L1"/>
    <w:basedOn w:val="Normal"/>
    <w:uiPriority w:val="99"/>
    <w:rsid w:val="00AE785C"/>
    <w:pPr>
      <w:numPr>
        <w:numId w:val="2"/>
      </w:numPr>
      <w:spacing w:before="120" w:after="0" w:line="280" w:lineRule="atLeast"/>
      <w:ind w:left="590"/>
    </w:pPr>
  </w:style>
  <w:style w:type="paragraph" w:customStyle="1" w:styleId="NumberedListL2">
    <w:name w:val="Numbered List L2"/>
    <w:basedOn w:val="Normal"/>
    <w:uiPriority w:val="99"/>
    <w:rsid w:val="00AE785C"/>
    <w:pPr>
      <w:numPr>
        <w:numId w:val="3"/>
      </w:numPr>
      <w:spacing w:before="120" w:after="0" w:line="280" w:lineRule="atLeast"/>
      <w:ind w:left="936"/>
    </w:pPr>
  </w:style>
  <w:style w:type="paragraph" w:customStyle="1" w:styleId="LetterListL1">
    <w:name w:val="Letter List L1"/>
    <w:basedOn w:val="Normal"/>
    <w:uiPriority w:val="99"/>
    <w:rsid w:val="00AE785C"/>
    <w:pPr>
      <w:spacing w:before="120" w:after="0" w:line="280" w:lineRule="atLeast"/>
      <w:ind w:left="270" w:hanging="270"/>
    </w:pPr>
  </w:style>
  <w:style w:type="character" w:customStyle="1" w:styleId="Superscript">
    <w:name w:val="Superscript"/>
    <w:uiPriority w:val="99"/>
    <w:rsid w:val="00AE785C"/>
    <w:rPr>
      <w:vertAlign w:val="superscript"/>
    </w:rPr>
  </w:style>
  <w:style w:type="paragraph" w:customStyle="1" w:styleId="SidebarTextonBlueSidebarsandImgCaption">
    <w:name w:val="Sidebar Text on Blue (Sidebars and Img Caption)"/>
    <w:basedOn w:val="Normal"/>
    <w:uiPriority w:val="99"/>
    <w:rsid w:val="00E45C12"/>
    <w:pPr>
      <w:spacing w:after="0" w:line="260" w:lineRule="atLeast"/>
    </w:pPr>
    <w:rPr>
      <w:color w:val="FFFFFF"/>
      <w:sz w:val="20"/>
      <w:szCs w:val="20"/>
    </w:rPr>
  </w:style>
  <w:style w:type="paragraph" w:customStyle="1" w:styleId="SidebarTitleonBlueSidebarsandImgCaption">
    <w:name w:val="Sidebar Title on Blue (Sidebars and Img Caption)"/>
    <w:basedOn w:val="SidebarTextonBlueSidebarsandImgCaption"/>
    <w:next w:val="SidebarTextonBlueSidebarsandImgCaption"/>
    <w:uiPriority w:val="99"/>
    <w:rsid w:val="00E45C12"/>
    <w:rPr>
      <w:b/>
      <w:bCs/>
      <w:sz w:val="22"/>
      <w:szCs w:val="22"/>
    </w:rPr>
  </w:style>
  <w:style w:type="paragraph" w:customStyle="1" w:styleId="ImgCaptionTitleonWhiteSidebarsandImgCaption">
    <w:name w:val="Img CaptionTitle on White (Sidebars and Img Caption)"/>
    <w:basedOn w:val="Normal"/>
    <w:uiPriority w:val="99"/>
    <w:rsid w:val="00B05BF6"/>
    <w:pPr>
      <w:spacing w:after="0" w:line="280" w:lineRule="atLeast"/>
    </w:pPr>
    <w:rPr>
      <w:b/>
      <w:bCs/>
      <w:color w:val="0074C8"/>
    </w:rPr>
  </w:style>
  <w:style w:type="paragraph" w:customStyle="1" w:styleId="ImgCaptiononWhiteSidebarsandImgCaption">
    <w:name w:val="Img Caption on White (Sidebars and Img Caption)"/>
    <w:basedOn w:val="Normal"/>
    <w:uiPriority w:val="99"/>
    <w:rsid w:val="00B05BF6"/>
    <w:pPr>
      <w:spacing w:after="0" w:line="260" w:lineRule="atLeast"/>
    </w:pPr>
    <w:rPr>
      <w:sz w:val="20"/>
      <w:szCs w:val="20"/>
    </w:rPr>
  </w:style>
  <w:style w:type="paragraph" w:customStyle="1" w:styleId="BasicParagraph">
    <w:name w:val="[Basic Paragraph]"/>
    <w:basedOn w:val="Normal"/>
    <w:uiPriority w:val="99"/>
    <w:rsid w:val="00E930BC"/>
    <w:pPr>
      <w:spacing w:after="90" w:line="280" w:lineRule="atLeast"/>
    </w:pPr>
  </w:style>
  <w:style w:type="paragraph" w:customStyle="1" w:styleId="SidebarCheckListSidebarsandImgCaption">
    <w:name w:val="Sidebar Check List (Sidebars and Img Caption)"/>
    <w:basedOn w:val="Normal"/>
    <w:uiPriority w:val="99"/>
    <w:rsid w:val="00825CE5"/>
    <w:pPr>
      <w:numPr>
        <w:numId w:val="4"/>
      </w:numPr>
      <w:spacing w:before="120" w:after="0" w:line="260" w:lineRule="atLeast"/>
      <w:ind w:left="288" w:hanging="288"/>
    </w:pPr>
    <w:rPr>
      <w:color w:val="FFFFFF"/>
      <w:sz w:val="20"/>
      <w:szCs w:val="20"/>
    </w:rPr>
  </w:style>
  <w:style w:type="paragraph" w:customStyle="1" w:styleId="SidebarBulletL2SidebarsandImgCaption">
    <w:name w:val="Sidebar Bullet L2 (Sidebars and Img Caption)"/>
    <w:basedOn w:val="Normal"/>
    <w:uiPriority w:val="99"/>
    <w:rsid w:val="00825CE5"/>
    <w:pPr>
      <w:numPr>
        <w:numId w:val="5"/>
      </w:numPr>
      <w:tabs>
        <w:tab w:val="left" w:pos="270"/>
      </w:tabs>
      <w:spacing w:after="47" w:line="260" w:lineRule="atLeast"/>
      <w:ind w:left="576" w:hanging="288"/>
    </w:pPr>
    <w:rPr>
      <w:color w:val="FFFFFF"/>
      <w:sz w:val="20"/>
      <w:szCs w:val="20"/>
    </w:rPr>
  </w:style>
  <w:style w:type="paragraph" w:customStyle="1" w:styleId="PullQuotewSidebarsandImgCaption">
    <w:name w:val="Pull Quote w/&quot; (Sidebars and Img Caption)"/>
    <w:basedOn w:val="Normal"/>
    <w:uiPriority w:val="99"/>
    <w:rsid w:val="00127D1B"/>
    <w:pPr>
      <w:spacing w:after="90" w:line="340" w:lineRule="atLeast"/>
      <w:ind w:left="90" w:hanging="90"/>
    </w:pPr>
    <w:rPr>
      <w:b/>
      <w:bCs/>
      <w:i/>
      <w:iCs/>
      <w:color w:val="FFFFFF"/>
      <w:sz w:val="28"/>
      <w:szCs w:val="28"/>
    </w:rPr>
  </w:style>
  <w:style w:type="paragraph" w:customStyle="1" w:styleId="PullQuotenoSidebarsandImgCaption">
    <w:name w:val="Pull Quote no &quot; (Sidebars and Img Caption)"/>
    <w:basedOn w:val="PullQuotewSidebarsandImgCaption"/>
    <w:uiPriority w:val="99"/>
    <w:rsid w:val="008F2A59"/>
    <w:pPr>
      <w:ind w:left="0" w:firstLine="0"/>
    </w:pPr>
  </w:style>
  <w:style w:type="paragraph" w:customStyle="1" w:styleId="TableHeadCenterTablesandCharts">
    <w:name w:val="Table Head Center (Tables and Charts)"/>
    <w:basedOn w:val="Normal"/>
    <w:uiPriority w:val="99"/>
    <w:rsid w:val="00E21FB2"/>
    <w:pPr>
      <w:spacing w:after="90" w:line="220" w:lineRule="atLeast"/>
      <w:jc w:val="center"/>
    </w:pPr>
    <w:rPr>
      <w:b/>
      <w:bCs/>
      <w:color w:val="FFFFFF"/>
    </w:rPr>
  </w:style>
  <w:style w:type="paragraph" w:customStyle="1" w:styleId="TableTextTablesandCharts">
    <w:name w:val="Table Text (Tables and Charts)"/>
    <w:basedOn w:val="Normal"/>
    <w:uiPriority w:val="99"/>
    <w:rsid w:val="00E21FB2"/>
    <w:pPr>
      <w:spacing w:after="90" w:line="220" w:lineRule="atLeast"/>
    </w:pPr>
    <w:rPr>
      <w:sz w:val="20"/>
      <w:szCs w:val="20"/>
    </w:rPr>
  </w:style>
  <w:style w:type="paragraph" w:customStyle="1" w:styleId="TableTitleTablesandCharts">
    <w:name w:val="Table Title (Tables and Charts)"/>
    <w:basedOn w:val="Normal"/>
    <w:uiPriority w:val="99"/>
    <w:rsid w:val="0084344B"/>
    <w:pPr>
      <w:spacing w:after="90" w:line="260" w:lineRule="atLeast"/>
    </w:pPr>
    <w:rPr>
      <w:b/>
      <w:bCs/>
      <w:color w:val="0074C8"/>
      <w:sz w:val="28"/>
      <w:szCs w:val="28"/>
    </w:rPr>
  </w:style>
  <w:style w:type="paragraph" w:customStyle="1" w:styleId="TableHeadLeftTablesandCharts">
    <w:name w:val="Table Head Left (Tables and Charts)"/>
    <w:basedOn w:val="TableHeadCenterTablesandCharts"/>
    <w:uiPriority w:val="99"/>
    <w:rsid w:val="007F0E18"/>
    <w:pPr>
      <w:jc w:val="left"/>
    </w:pPr>
  </w:style>
  <w:style w:type="paragraph" w:styleId="TOCHeading">
    <w:name w:val="TOC Heading"/>
    <w:basedOn w:val="Heading1"/>
    <w:next w:val="Normal"/>
    <w:uiPriority w:val="39"/>
    <w:unhideWhenUsed/>
    <w:qFormat/>
    <w:rsid w:val="008B6042"/>
    <w:pPr>
      <w:keepNext/>
      <w:keepLines/>
      <w:suppressAutoHyphens w:val="0"/>
      <w:autoSpaceDE/>
      <w:autoSpaceDN/>
      <w:adjustRightInd/>
      <w:spacing w:before="240" w:after="0" w:line="259" w:lineRule="auto"/>
      <w:textAlignment w:val="auto"/>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4633D9"/>
    <w:pPr>
      <w:tabs>
        <w:tab w:val="right" w:leader="dot" w:pos="9350"/>
      </w:tabs>
      <w:spacing w:after="100"/>
    </w:pPr>
  </w:style>
  <w:style w:type="paragraph" w:styleId="TOC1">
    <w:name w:val="toc 1"/>
    <w:basedOn w:val="Normal"/>
    <w:next w:val="Normal"/>
    <w:autoRedefine/>
    <w:uiPriority w:val="39"/>
    <w:unhideWhenUsed/>
    <w:rsid w:val="008B6042"/>
    <w:pPr>
      <w:spacing w:after="100"/>
    </w:pPr>
  </w:style>
  <w:style w:type="character" w:styleId="Hyperlink">
    <w:name w:val="Hyperlink"/>
    <w:basedOn w:val="DefaultParagraphFont"/>
    <w:uiPriority w:val="99"/>
    <w:unhideWhenUsed/>
    <w:rsid w:val="008B6042"/>
    <w:rPr>
      <w:color w:val="0563C1" w:themeColor="hyperlink"/>
      <w:u w:val="single"/>
    </w:rPr>
  </w:style>
  <w:style w:type="character" w:styleId="FollowedHyperlink">
    <w:name w:val="FollowedHyperlink"/>
    <w:basedOn w:val="DefaultParagraphFont"/>
    <w:uiPriority w:val="99"/>
    <w:semiHidden/>
    <w:unhideWhenUsed/>
    <w:rsid w:val="002A7278"/>
    <w:rPr>
      <w:color w:val="954F72" w:themeColor="followedHyperlink"/>
      <w:u w:val="single"/>
    </w:rPr>
  </w:style>
  <w:style w:type="paragraph" w:styleId="IntenseQuote">
    <w:name w:val="Intense Quote"/>
    <w:basedOn w:val="Normal"/>
    <w:next w:val="Normal"/>
    <w:link w:val="IntenseQuoteChar"/>
    <w:uiPriority w:val="30"/>
    <w:qFormat/>
    <w:rsid w:val="0087380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73800"/>
    <w:rPr>
      <w:rFonts w:ascii="Calibri" w:hAnsi="Calibri" w:cs="Calibri"/>
      <w:i/>
      <w:iCs/>
      <w:color w:val="4472C4" w:themeColor="accent1"/>
    </w:rPr>
  </w:style>
  <w:style w:type="character" w:styleId="FootnoteReference">
    <w:name w:val="footnote reference"/>
    <w:basedOn w:val="DefaultParagraphFont"/>
    <w:uiPriority w:val="99"/>
    <w:unhideWhenUsed/>
    <w:qFormat/>
    <w:rsid w:val="00D172C2"/>
    <w:rPr>
      <w:vertAlign w:val="superscript"/>
    </w:rPr>
  </w:style>
  <w:style w:type="paragraph" w:styleId="FootnoteText">
    <w:name w:val="footnote text"/>
    <w:link w:val="FootnoteTextChar"/>
    <w:uiPriority w:val="99"/>
    <w:unhideWhenUsed/>
    <w:qFormat/>
    <w:rsid w:val="00D172C2"/>
    <w:pPr>
      <w:spacing w:after="0" w:line="180" w:lineRule="exact"/>
    </w:pPr>
    <w:rPr>
      <w:rFonts w:asciiTheme="majorHAnsi" w:eastAsiaTheme="minorEastAsia" w:hAnsiTheme="majorHAnsi" w:cs="Calibri"/>
      <w:color w:val="000000"/>
      <w:sz w:val="16"/>
      <w:szCs w:val="16"/>
    </w:rPr>
  </w:style>
  <w:style w:type="character" w:customStyle="1" w:styleId="FootnoteTextChar">
    <w:name w:val="Footnote Text Char"/>
    <w:basedOn w:val="DefaultParagraphFont"/>
    <w:link w:val="FootnoteText"/>
    <w:uiPriority w:val="99"/>
    <w:rsid w:val="00D172C2"/>
    <w:rPr>
      <w:rFonts w:asciiTheme="majorHAnsi" w:eastAsiaTheme="minorEastAsia" w:hAnsiTheme="majorHAnsi" w:cs="Calibri"/>
      <w:color w:val="000000"/>
      <w:sz w:val="16"/>
      <w:szCs w:val="16"/>
    </w:rPr>
  </w:style>
  <w:style w:type="character" w:customStyle="1" w:styleId="Heading3Char">
    <w:name w:val="Heading 3 Char"/>
    <w:basedOn w:val="DefaultParagraphFont"/>
    <w:link w:val="Heading3"/>
    <w:uiPriority w:val="9"/>
    <w:rsid w:val="00D172C2"/>
    <w:rPr>
      <w:rFonts w:asciiTheme="majorHAnsi" w:eastAsiaTheme="majorEastAsia" w:hAnsiTheme="majorHAnsi" w:cstheme="majorBidi"/>
      <w:color w:val="1F3763" w:themeColor="accent1" w:themeShade="7F"/>
      <w:sz w:val="24"/>
      <w:szCs w:val="24"/>
    </w:rPr>
  </w:style>
  <w:style w:type="paragraph" w:styleId="BodyText">
    <w:name w:val="Body Text"/>
    <w:link w:val="BodyTextChar"/>
    <w:uiPriority w:val="99"/>
    <w:unhideWhenUsed/>
    <w:qFormat/>
    <w:rsid w:val="000119F1"/>
    <w:pPr>
      <w:spacing w:before="240" w:after="100" w:line="276" w:lineRule="auto"/>
    </w:pPr>
    <w:rPr>
      <w:rFonts w:ascii="Calibri" w:eastAsiaTheme="minorEastAsia" w:hAnsi="Calibri" w:cs="Calibri"/>
      <w:color w:val="000000" w:themeColor="text1"/>
    </w:rPr>
  </w:style>
  <w:style w:type="character" w:customStyle="1" w:styleId="BodyTextChar">
    <w:name w:val="Body Text Char"/>
    <w:basedOn w:val="DefaultParagraphFont"/>
    <w:link w:val="BodyText"/>
    <w:uiPriority w:val="99"/>
    <w:rsid w:val="000119F1"/>
    <w:rPr>
      <w:rFonts w:ascii="Calibri" w:eastAsiaTheme="minorEastAsia" w:hAnsi="Calibri" w:cs="Calibri"/>
      <w:color w:val="000000" w:themeColor="text1"/>
    </w:rPr>
  </w:style>
  <w:style w:type="paragraph" w:styleId="TOC3">
    <w:name w:val="toc 3"/>
    <w:basedOn w:val="Normal"/>
    <w:next w:val="Normal"/>
    <w:autoRedefine/>
    <w:uiPriority w:val="39"/>
    <w:unhideWhenUsed/>
    <w:rsid w:val="002369AA"/>
    <w:pPr>
      <w:spacing w:after="100"/>
      <w:ind w:left="440"/>
    </w:pPr>
  </w:style>
  <w:style w:type="character" w:customStyle="1" w:styleId="Heading4Char">
    <w:name w:val="Heading 4 Char"/>
    <w:basedOn w:val="DefaultParagraphFont"/>
    <w:link w:val="Heading4"/>
    <w:uiPriority w:val="9"/>
    <w:rsid w:val="003F0302"/>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F2056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keLight">
    <w:name w:val="Make Light"/>
    <w:basedOn w:val="DefaultParagraphFont"/>
    <w:uiPriority w:val="1"/>
    <w:qFormat/>
    <w:rsid w:val="00F20560"/>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2590">
      <w:bodyDiv w:val="1"/>
      <w:marLeft w:val="0"/>
      <w:marRight w:val="0"/>
      <w:marTop w:val="0"/>
      <w:marBottom w:val="0"/>
      <w:divBdr>
        <w:top w:val="none" w:sz="0" w:space="0" w:color="auto"/>
        <w:left w:val="none" w:sz="0" w:space="0" w:color="auto"/>
        <w:bottom w:val="none" w:sz="0" w:space="0" w:color="auto"/>
        <w:right w:val="none" w:sz="0" w:space="0" w:color="auto"/>
      </w:divBdr>
      <w:divsChild>
        <w:div w:id="8299528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dc.gov/publichealth101/informatics.html" TargetMode="External"/><Relationship Id="rId21" Type="http://schemas.openxmlformats.org/officeDocument/2006/relationships/hyperlink" Target="http://www.phii.org/resources" TargetMode="External"/><Relationship Id="rId22" Type="http://schemas.openxmlformats.org/officeDocument/2006/relationships/hyperlink" Target="https://www.phii.org/informatics-communication-toolkit" TargetMode="External"/><Relationship Id="rId23" Type="http://schemas.openxmlformats.org/officeDocument/2006/relationships/diagramData" Target="diagrams/data1.xml"/><Relationship Id="rId24" Type="http://schemas.openxmlformats.org/officeDocument/2006/relationships/diagramLayout" Target="diagrams/layout1.xml"/><Relationship Id="rId25" Type="http://schemas.openxmlformats.org/officeDocument/2006/relationships/diagramQuickStyle" Target="diagrams/quickStyle1.xml"/><Relationship Id="rId26" Type="http://schemas.openxmlformats.org/officeDocument/2006/relationships/diagramColors" Target="diagrams/colors1.xml"/><Relationship Id="rId27" Type="http://schemas.microsoft.com/office/2007/relationships/diagramDrawing" Target="diagrams/drawing1.xml"/><Relationship Id="rId28" Type="http://schemas.openxmlformats.org/officeDocument/2006/relationships/hyperlink" Target="http://www.phii.org/infosavvy" TargetMode="External"/><Relationship Id="rId29" Type="http://schemas.openxmlformats.org/officeDocument/2006/relationships/hyperlink" Target="http://www.phii.org/infosavv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phii.org/infosavvy" TargetMode="External"/><Relationship Id="rId31" Type="http://schemas.openxmlformats.org/officeDocument/2006/relationships/hyperlink" Target="http://www.phii.org/infosavvy" TargetMode="External"/><Relationship Id="rId32" Type="http://schemas.openxmlformats.org/officeDocument/2006/relationships/header" Target="header4.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5.xml"/><Relationship Id="rId34" Type="http://schemas.openxmlformats.org/officeDocument/2006/relationships/footer" Target="footer4.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http://www.phii.org/infosavvy" TargetMode="External"/><Relationship Id="rId18" Type="http://schemas.openxmlformats.org/officeDocument/2006/relationships/hyperlink" Target="http://www.phii.org/PHI-Toolkit" TargetMode="External"/><Relationship Id="rId19" Type="http://schemas.openxmlformats.org/officeDocument/2006/relationships/hyperlink" Target="http://www.phii.org/informatics-communication-toolki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5F4E23-2677-4855-8ECF-22B55DA5E69A}"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B28D9B12-5A5C-40F7-A2F2-74789FE3F849}">
      <dgm:prSet phldrT="[Text]"/>
      <dgm:spPr>
        <a:solidFill>
          <a:srgbClr val="0075C9"/>
        </a:solidFill>
        <a:effectLst>
          <a:outerShdw blurRad="76200" dir="18900000" sy="23000" kx="-1200000" algn="bl" rotWithShape="0">
            <a:prstClr val="black">
              <a:alpha val="20000"/>
            </a:prstClr>
          </a:outerShdw>
        </a:effectLst>
      </dgm:spPr>
      <dgm:t>
        <a:bodyPr/>
        <a:lstStyle/>
        <a:p>
          <a:r>
            <a:rPr lang="en-US"/>
            <a:t>Informatics-savvy health department</a:t>
          </a:r>
        </a:p>
      </dgm:t>
    </dgm:pt>
    <dgm:pt modelId="{36E33FB0-511C-4262-90B7-A05D78CDD906}" type="parTrans" cxnId="{50211CCC-D0D1-4685-9B50-4437023DA1FD}">
      <dgm:prSet/>
      <dgm:spPr/>
      <dgm:t>
        <a:bodyPr/>
        <a:lstStyle/>
        <a:p>
          <a:endParaRPr lang="en-US"/>
        </a:p>
      </dgm:t>
    </dgm:pt>
    <dgm:pt modelId="{A1C17376-6F32-4AC2-8AF3-85447475E5AA}" type="sibTrans" cxnId="{50211CCC-D0D1-4685-9B50-4437023DA1FD}">
      <dgm:prSet/>
      <dgm:spPr/>
      <dgm:t>
        <a:bodyPr/>
        <a:lstStyle/>
        <a:p>
          <a:endParaRPr lang="en-US"/>
        </a:p>
      </dgm:t>
    </dgm:pt>
    <dgm:pt modelId="{FF5D73BB-7D54-4FCC-BA81-F10CBBE82207}">
      <dgm:prSet phldrT="[Text]"/>
      <dgm:spPr>
        <a:solidFill>
          <a:srgbClr val="0075C9"/>
        </a:solidFill>
        <a:effectLst>
          <a:outerShdw blurRad="76200" dir="18900000" sy="23000" kx="-1200000" algn="bl" rotWithShape="0">
            <a:prstClr val="black">
              <a:alpha val="20000"/>
            </a:prstClr>
          </a:outerShdw>
        </a:effectLst>
      </dgm:spPr>
      <dgm:t>
        <a:bodyPr/>
        <a:lstStyle/>
        <a:p>
          <a:r>
            <a:rPr lang="en-US"/>
            <a:t>Informatics vision and strategy</a:t>
          </a:r>
        </a:p>
      </dgm:t>
    </dgm:pt>
    <dgm:pt modelId="{9647BF14-A044-47BF-A150-6F23AB32CFCD}" type="parTrans" cxnId="{1E084F04-44C9-4E06-88DD-8F5BAE3C7DAB}">
      <dgm:prSet/>
      <dgm:spPr>
        <a:solidFill>
          <a:srgbClr val="D3DDE6"/>
        </a:solidFill>
      </dgm:spPr>
      <dgm:t>
        <a:bodyPr/>
        <a:lstStyle/>
        <a:p>
          <a:endParaRPr lang="en-US"/>
        </a:p>
      </dgm:t>
    </dgm:pt>
    <dgm:pt modelId="{DE11BFA4-1726-4EC0-831C-AAEEFF0F6C13}" type="sibTrans" cxnId="{1E084F04-44C9-4E06-88DD-8F5BAE3C7DAB}">
      <dgm:prSet/>
      <dgm:spPr/>
      <dgm:t>
        <a:bodyPr/>
        <a:lstStyle/>
        <a:p>
          <a:endParaRPr lang="en-US"/>
        </a:p>
      </dgm:t>
    </dgm:pt>
    <dgm:pt modelId="{ADCDC0D6-B21B-474B-BCFA-22BCF09F667A}">
      <dgm:prSet phldrT="[Text]"/>
      <dgm:spPr>
        <a:solidFill>
          <a:srgbClr val="0075C9"/>
        </a:solidFill>
        <a:effectLst>
          <a:outerShdw blurRad="76200" dir="18900000" sy="23000" kx="-1200000" algn="bl" rotWithShape="0">
            <a:prstClr val="black">
              <a:alpha val="20000"/>
            </a:prstClr>
          </a:outerShdw>
        </a:effectLst>
      </dgm:spPr>
      <dgm:t>
        <a:bodyPr/>
        <a:lstStyle/>
        <a:p>
          <a:r>
            <a:rPr lang="en-US"/>
            <a:t>Skilled workforce</a:t>
          </a:r>
        </a:p>
      </dgm:t>
    </dgm:pt>
    <dgm:pt modelId="{87BF3EFE-9150-4F19-800F-3427D7120BF5}" type="parTrans" cxnId="{3B4A00C8-8C16-4D7B-8D0C-BFAF501E81F2}">
      <dgm:prSet/>
      <dgm:spPr>
        <a:solidFill>
          <a:srgbClr val="D3DDE6"/>
        </a:solidFill>
      </dgm:spPr>
      <dgm:t>
        <a:bodyPr/>
        <a:lstStyle/>
        <a:p>
          <a:endParaRPr lang="en-US">
            <a:solidFill>
              <a:srgbClr val="D3DDE6"/>
            </a:solidFill>
          </a:endParaRPr>
        </a:p>
      </dgm:t>
    </dgm:pt>
    <dgm:pt modelId="{1A32F9BC-5B06-47D6-B002-A5099B1CEBA7}" type="sibTrans" cxnId="{3B4A00C8-8C16-4D7B-8D0C-BFAF501E81F2}">
      <dgm:prSet/>
      <dgm:spPr/>
      <dgm:t>
        <a:bodyPr/>
        <a:lstStyle/>
        <a:p>
          <a:endParaRPr lang="en-US"/>
        </a:p>
      </dgm:t>
    </dgm:pt>
    <dgm:pt modelId="{323DDC10-14DC-4FC3-A35C-9F3046EFB1EB}">
      <dgm:prSet phldrT="[Text]"/>
      <dgm:spPr>
        <a:solidFill>
          <a:srgbClr val="0075C9"/>
        </a:solidFill>
        <a:effectLst>
          <a:outerShdw blurRad="76200" dir="18900000" sy="23000" kx="-1200000" algn="bl" rotWithShape="0">
            <a:prstClr val="black">
              <a:alpha val="20000"/>
            </a:prstClr>
          </a:outerShdw>
        </a:effectLst>
      </dgm:spPr>
      <dgm:t>
        <a:bodyPr/>
        <a:lstStyle/>
        <a:p>
          <a:r>
            <a:rPr lang="en-US"/>
            <a:t>Well-designed, effectively used systems</a:t>
          </a:r>
        </a:p>
      </dgm:t>
    </dgm:pt>
    <dgm:pt modelId="{4AF42A11-E298-42ED-8F00-DC5A02C958E8}" type="parTrans" cxnId="{62AA32E5-B4F4-4215-A79A-2BBC38463725}">
      <dgm:prSet/>
      <dgm:spPr>
        <a:solidFill>
          <a:srgbClr val="D3DDE6"/>
        </a:solidFill>
      </dgm:spPr>
      <dgm:t>
        <a:bodyPr/>
        <a:lstStyle/>
        <a:p>
          <a:endParaRPr lang="en-US">
            <a:solidFill>
              <a:srgbClr val="D3DDE6"/>
            </a:solidFill>
          </a:endParaRPr>
        </a:p>
      </dgm:t>
    </dgm:pt>
    <dgm:pt modelId="{9DB695F1-8A56-4E07-A110-F58826706E71}" type="sibTrans" cxnId="{62AA32E5-B4F4-4215-A79A-2BBC38463725}">
      <dgm:prSet/>
      <dgm:spPr/>
      <dgm:t>
        <a:bodyPr/>
        <a:lstStyle/>
        <a:p>
          <a:endParaRPr lang="en-US"/>
        </a:p>
      </dgm:t>
    </dgm:pt>
    <dgm:pt modelId="{8E2C20B4-3DAF-4999-91F4-8F368053CACB}" type="pres">
      <dgm:prSet presAssocID="{705F4E23-2677-4855-8ECF-22B55DA5E69A}" presName="cycle" presStyleCnt="0">
        <dgm:presLayoutVars>
          <dgm:chMax val="1"/>
          <dgm:dir/>
          <dgm:animLvl val="ctr"/>
          <dgm:resizeHandles val="exact"/>
        </dgm:presLayoutVars>
      </dgm:prSet>
      <dgm:spPr/>
      <dgm:t>
        <a:bodyPr/>
        <a:lstStyle/>
        <a:p>
          <a:endParaRPr lang="en-US"/>
        </a:p>
      </dgm:t>
    </dgm:pt>
    <dgm:pt modelId="{8376E393-7817-47C5-B159-B11BEF2A8635}" type="pres">
      <dgm:prSet presAssocID="{B28D9B12-5A5C-40F7-A2F2-74789FE3F849}" presName="centerShape" presStyleLbl="node0" presStyleIdx="0" presStyleCnt="1"/>
      <dgm:spPr/>
      <dgm:t>
        <a:bodyPr/>
        <a:lstStyle/>
        <a:p>
          <a:endParaRPr lang="en-US"/>
        </a:p>
      </dgm:t>
    </dgm:pt>
    <dgm:pt modelId="{A1299758-5DAA-4160-BAB9-AEC64C13CA37}" type="pres">
      <dgm:prSet presAssocID="{9647BF14-A044-47BF-A150-6F23AB32CFCD}" presName="parTrans" presStyleLbl="bgSibTrans2D1" presStyleIdx="0" presStyleCnt="3"/>
      <dgm:spPr/>
      <dgm:t>
        <a:bodyPr/>
        <a:lstStyle/>
        <a:p>
          <a:endParaRPr lang="en-US"/>
        </a:p>
      </dgm:t>
    </dgm:pt>
    <dgm:pt modelId="{ADFB2CC9-1412-4B36-9A75-2D09B8C8776E}" type="pres">
      <dgm:prSet presAssocID="{FF5D73BB-7D54-4FCC-BA81-F10CBBE82207}" presName="node" presStyleLbl="node1" presStyleIdx="0" presStyleCnt="3">
        <dgm:presLayoutVars>
          <dgm:bulletEnabled val="1"/>
        </dgm:presLayoutVars>
      </dgm:prSet>
      <dgm:spPr/>
      <dgm:t>
        <a:bodyPr/>
        <a:lstStyle/>
        <a:p>
          <a:endParaRPr lang="en-US"/>
        </a:p>
      </dgm:t>
    </dgm:pt>
    <dgm:pt modelId="{BB635E5A-D5FF-44A3-8B68-70B0B1226B02}" type="pres">
      <dgm:prSet presAssocID="{87BF3EFE-9150-4F19-800F-3427D7120BF5}" presName="parTrans" presStyleLbl="bgSibTrans2D1" presStyleIdx="1" presStyleCnt="3"/>
      <dgm:spPr/>
      <dgm:t>
        <a:bodyPr/>
        <a:lstStyle/>
        <a:p>
          <a:endParaRPr lang="en-US"/>
        </a:p>
      </dgm:t>
    </dgm:pt>
    <dgm:pt modelId="{1BAFB3CA-EA43-4C31-963B-C82871DC4C65}" type="pres">
      <dgm:prSet presAssocID="{ADCDC0D6-B21B-474B-BCFA-22BCF09F667A}" presName="node" presStyleLbl="node1" presStyleIdx="1" presStyleCnt="3">
        <dgm:presLayoutVars>
          <dgm:bulletEnabled val="1"/>
        </dgm:presLayoutVars>
      </dgm:prSet>
      <dgm:spPr/>
      <dgm:t>
        <a:bodyPr/>
        <a:lstStyle/>
        <a:p>
          <a:endParaRPr lang="en-US"/>
        </a:p>
      </dgm:t>
    </dgm:pt>
    <dgm:pt modelId="{F6224FF9-0B79-4210-8E7B-1E1F92ADFE0D}" type="pres">
      <dgm:prSet presAssocID="{4AF42A11-E298-42ED-8F00-DC5A02C958E8}" presName="parTrans" presStyleLbl="bgSibTrans2D1" presStyleIdx="2" presStyleCnt="3"/>
      <dgm:spPr/>
      <dgm:t>
        <a:bodyPr/>
        <a:lstStyle/>
        <a:p>
          <a:endParaRPr lang="en-US"/>
        </a:p>
      </dgm:t>
    </dgm:pt>
    <dgm:pt modelId="{6FEC3939-C2E2-4788-A9E9-D6F10E748CDE}" type="pres">
      <dgm:prSet presAssocID="{323DDC10-14DC-4FC3-A35C-9F3046EFB1EB}" presName="node" presStyleLbl="node1" presStyleIdx="2" presStyleCnt="3">
        <dgm:presLayoutVars>
          <dgm:bulletEnabled val="1"/>
        </dgm:presLayoutVars>
      </dgm:prSet>
      <dgm:spPr/>
      <dgm:t>
        <a:bodyPr/>
        <a:lstStyle/>
        <a:p>
          <a:endParaRPr lang="en-US"/>
        </a:p>
      </dgm:t>
    </dgm:pt>
  </dgm:ptLst>
  <dgm:cxnLst>
    <dgm:cxn modelId="{090FB853-EB14-2144-BD5A-1B7FF6A25EC4}" type="presOf" srcId="{4AF42A11-E298-42ED-8F00-DC5A02C958E8}" destId="{F6224FF9-0B79-4210-8E7B-1E1F92ADFE0D}" srcOrd="0" destOrd="0" presId="urn:microsoft.com/office/officeart/2005/8/layout/radial4"/>
    <dgm:cxn modelId="{CD954855-B754-4745-B412-8340FACD0C3F}" type="presOf" srcId="{705F4E23-2677-4855-8ECF-22B55DA5E69A}" destId="{8E2C20B4-3DAF-4999-91F4-8F368053CACB}" srcOrd="0" destOrd="0" presId="urn:microsoft.com/office/officeart/2005/8/layout/radial4"/>
    <dgm:cxn modelId="{95462CC7-4803-9E4B-9EF4-DC29A48CB619}" type="presOf" srcId="{9647BF14-A044-47BF-A150-6F23AB32CFCD}" destId="{A1299758-5DAA-4160-BAB9-AEC64C13CA37}" srcOrd="0" destOrd="0" presId="urn:microsoft.com/office/officeart/2005/8/layout/radial4"/>
    <dgm:cxn modelId="{99575952-317B-AC45-B2BA-3548B4A8E26B}" type="presOf" srcId="{87BF3EFE-9150-4F19-800F-3427D7120BF5}" destId="{BB635E5A-D5FF-44A3-8B68-70B0B1226B02}" srcOrd="0" destOrd="0" presId="urn:microsoft.com/office/officeart/2005/8/layout/radial4"/>
    <dgm:cxn modelId="{3B4A00C8-8C16-4D7B-8D0C-BFAF501E81F2}" srcId="{B28D9B12-5A5C-40F7-A2F2-74789FE3F849}" destId="{ADCDC0D6-B21B-474B-BCFA-22BCF09F667A}" srcOrd="1" destOrd="0" parTransId="{87BF3EFE-9150-4F19-800F-3427D7120BF5}" sibTransId="{1A32F9BC-5B06-47D6-B002-A5099B1CEBA7}"/>
    <dgm:cxn modelId="{1E084F04-44C9-4E06-88DD-8F5BAE3C7DAB}" srcId="{B28D9B12-5A5C-40F7-A2F2-74789FE3F849}" destId="{FF5D73BB-7D54-4FCC-BA81-F10CBBE82207}" srcOrd="0" destOrd="0" parTransId="{9647BF14-A044-47BF-A150-6F23AB32CFCD}" sibTransId="{DE11BFA4-1726-4EC0-831C-AAEEFF0F6C13}"/>
    <dgm:cxn modelId="{62AA32E5-B4F4-4215-A79A-2BBC38463725}" srcId="{B28D9B12-5A5C-40F7-A2F2-74789FE3F849}" destId="{323DDC10-14DC-4FC3-A35C-9F3046EFB1EB}" srcOrd="2" destOrd="0" parTransId="{4AF42A11-E298-42ED-8F00-DC5A02C958E8}" sibTransId="{9DB695F1-8A56-4E07-A110-F58826706E71}"/>
    <dgm:cxn modelId="{3FA31E19-A70B-174A-ACF2-79A6C5C49A21}" type="presOf" srcId="{FF5D73BB-7D54-4FCC-BA81-F10CBBE82207}" destId="{ADFB2CC9-1412-4B36-9A75-2D09B8C8776E}" srcOrd="0" destOrd="0" presId="urn:microsoft.com/office/officeart/2005/8/layout/radial4"/>
    <dgm:cxn modelId="{50211CCC-D0D1-4685-9B50-4437023DA1FD}" srcId="{705F4E23-2677-4855-8ECF-22B55DA5E69A}" destId="{B28D9B12-5A5C-40F7-A2F2-74789FE3F849}" srcOrd="0" destOrd="0" parTransId="{36E33FB0-511C-4262-90B7-A05D78CDD906}" sibTransId="{A1C17376-6F32-4AC2-8AF3-85447475E5AA}"/>
    <dgm:cxn modelId="{149BDEE4-628D-3249-943C-B9B7CD08EA3B}" type="presOf" srcId="{ADCDC0D6-B21B-474B-BCFA-22BCF09F667A}" destId="{1BAFB3CA-EA43-4C31-963B-C82871DC4C65}" srcOrd="0" destOrd="0" presId="urn:microsoft.com/office/officeart/2005/8/layout/radial4"/>
    <dgm:cxn modelId="{B810B1C8-E538-D543-B435-9CE9E381DD0F}" type="presOf" srcId="{B28D9B12-5A5C-40F7-A2F2-74789FE3F849}" destId="{8376E393-7817-47C5-B159-B11BEF2A8635}" srcOrd="0" destOrd="0" presId="urn:microsoft.com/office/officeart/2005/8/layout/radial4"/>
    <dgm:cxn modelId="{58147C0A-833D-5845-A348-C49F288D083F}" type="presOf" srcId="{323DDC10-14DC-4FC3-A35C-9F3046EFB1EB}" destId="{6FEC3939-C2E2-4788-A9E9-D6F10E748CDE}" srcOrd="0" destOrd="0" presId="urn:microsoft.com/office/officeart/2005/8/layout/radial4"/>
    <dgm:cxn modelId="{BF06DE55-E83A-9E45-9CBD-DD066B332D48}" type="presParOf" srcId="{8E2C20B4-3DAF-4999-91F4-8F368053CACB}" destId="{8376E393-7817-47C5-B159-B11BEF2A8635}" srcOrd="0" destOrd="0" presId="urn:microsoft.com/office/officeart/2005/8/layout/radial4"/>
    <dgm:cxn modelId="{A7DEF01B-1DDD-2F40-A3A1-743E9B5FD05F}" type="presParOf" srcId="{8E2C20B4-3DAF-4999-91F4-8F368053CACB}" destId="{A1299758-5DAA-4160-BAB9-AEC64C13CA37}" srcOrd="1" destOrd="0" presId="urn:microsoft.com/office/officeart/2005/8/layout/radial4"/>
    <dgm:cxn modelId="{D8E2613B-3823-E341-BA4C-CD687D40D409}" type="presParOf" srcId="{8E2C20B4-3DAF-4999-91F4-8F368053CACB}" destId="{ADFB2CC9-1412-4B36-9A75-2D09B8C8776E}" srcOrd="2" destOrd="0" presId="urn:microsoft.com/office/officeart/2005/8/layout/radial4"/>
    <dgm:cxn modelId="{32A87886-F184-1644-A1A1-C7628ECF209C}" type="presParOf" srcId="{8E2C20B4-3DAF-4999-91F4-8F368053CACB}" destId="{BB635E5A-D5FF-44A3-8B68-70B0B1226B02}" srcOrd="3" destOrd="0" presId="urn:microsoft.com/office/officeart/2005/8/layout/radial4"/>
    <dgm:cxn modelId="{09C281B2-6D86-9D4E-938C-B59DBD9D1606}" type="presParOf" srcId="{8E2C20B4-3DAF-4999-91F4-8F368053CACB}" destId="{1BAFB3CA-EA43-4C31-963B-C82871DC4C65}" srcOrd="4" destOrd="0" presId="urn:microsoft.com/office/officeart/2005/8/layout/radial4"/>
    <dgm:cxn modelId="{EC4DC0F0-46D1-7C40-A271-CC7EA00FD907}" type="presParOf" srcId="{8E2C20B4-3DAF-4999-91F4-8F368053CACB}" destId="{F6224FF9-0B79-4210-8E7B-1E1F92ADFE0D}" srcOrd="5" destOrd="0" presId="urn:microsoft.com/office/officeart/2005/8/layout/radial4"/>
    <dgm:cxn modelId="{EB3ACA14-6A7A-1E40-A428-78F280B0FAA1}" type="presParOf" srcId="{8E2C20B4-3DAF-4999-91F4-8F368053CACB}" destId="{6FEC3939-C2E2-4788-A9E9-D6F10E748CDE}" srcOrd="6" destOrd="0" presId="urn:microsoft.com/office/officeart/2005/8/layout/radial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76E393-7817-47C5-B159-B11BEF2A8635}">
      <dsp:nvSpPr>
        <dsp:cNvPr id="0" name=""/>
        <dsp:cNvSpPr/>
      </dsp:nvSpPr>
      <dsp:spPr>
        <a:xfrm>
          <a:off x="943903" y="1332599"/>
          <a:ext cx="870632" cy="870632"/>
        </a:xfrm>
        <a:prstGeom prst="ellipse">
          <a:avLst/>
        </a:prstGeom>
        <a:solidFill>
          <a:srgbClr val="0075C9"/>
        </a:solidFill>
        <a:ln w="12700" cap="flat" cmpd="sng" algn="ctr">
          <a:solidFill>
            <a:schemeClr val="lt1">
              <a:hueOff val="0"/>
              <a:satOff val="0"/>
              <a:lumOff val="0"/>
              <a:alphaOff val="0"/>
            </a:schemeClr>
          </a:solidFill>
          <a:prstDash val="solid"/>
          <a:miter lim="800000"/>
        </a:ln>
        <a:effectLst>
          <a:outerShdw blurRad="76200" dir="18900000" sy="23000" kx="-1200000" algn="bl" rotWithShape="0">
            <a:prstClr val="black">
              <a:alpha val="2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Informatics-savvy health department</a:t>
          </a:r>
        </a:p>
      </dsp:txBody>
      <dsp:txXfrm>
        <a:off x="1071404" y="1460100"/>
        <a:ext cx="615630" cy="615630"/>
      </dsp:txXfrm>
    </dsp:sp>
    <dsp:sp modelId="{A1299758-5DAA-4160-BAB9-AEC64C13CA37}">
      <dsp:nvSpPr>
        <dsp:cNvPr id="0" name=""/>
        <dsp:cNvSpPr/>
      </dsp:nvSpPr>
      <dsp:spPr>
        <a:xfrm rot="12900000">
          <a:off x="350997" y="1169523"/>
          <a:ext cx="701625" cy="248130"/>
        </a:xfrm>
        <a:prstGeom prst="leftArrow">
          <a:avLst>
            <a:gd name="adj1" fmla="val 60000"/>
            <a:gd name="adj2" fmla="val 50000"/>
          </a:avLst>
        </a:prstGeom>
        <a:solidFill>
          <a:srgbClr val="D3DDE6"/>
        </a:solidFill>
        <a:ln>
          <a:noFill/>
        </a:ln>
        <a:effectLst/>
      </dsp:spPr>
      <dsp:style>
        <a:lnRef idx="0">
          <a:scrgbClr r="0" g="0" b="0"/>
        </a:lnRef>
        <a:fillRef idx="1">
          <a:scrgbClr r="0" g="0" b="0"/>
        </a:fillRef>
        <a:effectRef idx="0">
          <a:scrgbClr r="0" g="0" b="0"/>
        </a:effectRef>
        <a:fontRef idx="minor">
          <a:schemeClr val="lt1"/>
        </a:fontRef>
      </dsp:style>
    </dsp:sp>
    <dsp:sp modelId="{ADFB2CC9-1412-4B36-9A75-2D09B8C8776E}">
      <dsp:nvSpPr>
        <dsp:cNvPr id="0" name=""/>
        <dsp:cNvSpPr/>
      </dsp:nvSpPr>
      <dsp:spPr>
        <a:xfrm>
          <a:off x="890" y="761529"/>
          <a:ext cx="827100" cy="661680"/>
        </a:xfrm>
        <a:prstGeom prst="roundRect">
          <a:avLst>
            <a:gd name="adj" fmla="val 10000"/>
          </a:avLst>
        </a:prstGeom>
        <a:solidFill>
          <a:srgbClr val="0075C9"/>
        </a:solidFill>
        <a:ln w="12700" cap="flat" cmpd="sng" algn="ctr">
          <a:solidFill>
            <a:schemeClr val="lt1">
              <a:hueOff val="0"/>
              <a:satOff val="0"/>
              <a:lumOff val="0"/>
              <a:alphaOff val="0"/>
            </a:schemeClr>
          </a:solidFill>
          <a:prstDash val="solid"/>
          <a:miter lim="800000"/>
        </a:ln>
        <a:effectLst>
          <a:outerShdw blurRad="76200" dir="18900000" sy="23000" kx="-1200000" algn="bl" rotWithShape="0">
            <a:prstClr val="black">
              <a:alpha val="2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Informatics vision and strategy</a:t>
          </a:r>
        </a:p>
      </dsp:txBody>
      <dsp:txXfrm>
        <a:off x="20270" y="780909"/>
        <a:ext cx="788340" cy="622920"/>
      </dsp:txXfrm>
    </dsp:sp>
    <dsp:sp modelId="{BB635E5A-D5FF-44A3-8B68-70B0B1226B02}">
      <dsp:nvSpPr>
        <dsp:cNvPr id="0" name=""/>
        <dsp:cNvSpPr/>
      </dsp:nvSpPr>
      <dsp:spPr>
        <a:xfrm rot="16200000">
          <a:off x="1028407" y="816886"/>
          <a:ext cx="701625" cy="248130"/>
        </a:xfrm>
        <a:prstGeom prst="leftArrow">
          <a:avLst>
            <a:gd name="adj1" fmla="val 60000"/>
            <a:gd name="adj2" fmla="val 50000"/>
          </a:avLst>
        </a:prstGeom>
        <a:solidFill>
          <a:srgbClr val="D3DDE6"/>
        </a:solidFill>
        <a:ln>
          <a:noFill/>
        </a:ln>
        <a:effectLst/>
      </dsp:spPr>
      <dsp:style>
        <a:lnRef idx="0">
          <a:scrgbClr r="0" g="0" b="0"/>
        </a:lnRef>
        <a:fillRef idx="1">
          <a:scrgbClr r="0" g="0" b="0"/>
        </a:fillRef>
        <a:effectRef idx="0">
          <a:scrgbClr r="0" g="0" b="0"/>
        </a:effectRef>
        <a:fontRef idx="minor">
          <a:schemeClr val="lt1"/>
        </a:fontRef>
      </dsp:style>
    </dsp:sp>
    <dsp:sp modelId="{1BAFB3CA-EA43-4C31-963B-C82871DC4C65}">
      <dsp:nvSpPr>
        <dsp:cNvPr id="0" name=""/>
        <dsp:cNvSpPr/>
      </dsp:nvSpPr>
      <dsp:spPr>
        <a:xfrm>
          <a:off x="965669" y="259297"/>
          <a:ext cx="827100" cy="661680"/>
        </a:xfrm>
        <a:prstGeom prst="roundRect">
          <a:avLst>
            <a:gd name="adj" fmla="val 10000"/>
          </a:avLst>
        </a:prstGeom>
        <a:solidFill>
          <a:srgbClr val="0075C9"/>
        </a:solidFill>
        <a:ln w="12700" cap="flat" cmpd="sng" algn="ctr">
          <a:solidFill>
            <a:schemeClr val="lt1">
              <a:hueOff val="0"/>
              <a:satOff val="0"/>
              <a:lumOff val="0"/>
              <a:alphaOff val="0"/>
            </a:schemeClr>
          </a:solidFill>
          <a:prstDash val="solid"/>
          <a:miter lim="800000"/>
        </a:ln>
        <a:effectLst>
          <a:outerShdw blurRad="76200" dir="18900000" sy="23000" kx="-1200000" algn="bl" rotWithShape="0">
            <a:prstClr val="black">
              <a:alpha val="2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Skilled workforce</a:t>
          </a:r>
        </a:p>
      </dsp:txBody>
      <dsp:txXfrm>
        <a:off x="985049" y="278677"/>
        <a:ext cx="788340" cy="622920"/>
      </dsp:txXfrm>
    </dsp:sp>
    <dsp:sp modelId="{F6224FF9-0B79-4210-8E7B-1E1F92ADFE0D}">
      <dsp:nvSpPr>
        <dsp:cNvPr id="0" name=""/>
        <dsp:cNvSpPr/>
      </dsp:nvSpPr>
      <dsp:spPr>
        <a:xfrm rot="19500000">
          <a:off x="1705816" y="1169523"/>
          <a:ext cx="701625" cy="248130"/>
        </a:xfrm>
        <a:prstGeom prst="leftArrow">
          <a:avLst>
            <a:gd name="adj1" fmla="val 60000"/>
            <a:gd name="adj2" fmla="val 50000"/>
          </a:avLst>
        </a:prstGeom>
        <a:solidFill>
          <a:srgbClr val="D3DDE6"/>
        </a:solidFill>
        <a:ln>
          <a:noFill/>
        </a:ln>
        <a:effectLst/>
      </dsp:spPr>
      <dsp:style>
        <a:lnRef idx="0">
          <a:scrgbClr r="0" g="0" b="0"/>
        </a:lnRef>
        <a:fillRef idx="1">
          <a:scrgbClr r="0" g="0" b="0"/>
        </a:fillRef>
        <a:effectRef idx="0">
          <a:scrgbClr r="0" g="0" b="0"/>
        </a:effectRef>
        <a:fontRef idx="minor">
          <a:schemeClr val="lt1"/>
        </a:fontRef>
      </dsp:style>
    </dsp:sp>
    <dsp:sp modelId="{6FEC3939-C2E2-4788-A9E9-D6F10E748CDE}">
      <dsp:nvSpPr>
        <dsp:cNvPr id="0" name=""/>
        <dsp:cNvSpPr/>
      </dsp:nvSpPr>
      <dsp:spPr>
        <a:xfrm>
          <a:off x="1930448" y="761529"/>
          <a:ext cx="827100" cy="661680"/>
        </a:xfrm>
        <a:prstGeom prst="roundRect">
          <a:avLst>
            <a:gd name="adj" fmla="val 10000"/>
          </a:avLst>
        </a:prstGeom>
        <a:solidFill>
          <a:srgbClr val="0075C9"/>
        </a:solidFill>
        <a:ln w="12700" cap="flat" cmpd="sng" algn="ctr">
          <a:solidFill>
            <a:schemeClr val="lt1">
              <a:hueOff val="0"/>
              <a:satOff val="0"/>
              <a:lumOff val="0"/>
              <a:alphaOff val="0"/>
            </a:schemeClr>
          </a:solidFill>
          <a:prstDash val="solid"/>
          <a:miter lim="800000"/>
        </a:ln>
        <a:effectLst>
          <a:outerShdw blurRad="76200" dir="18900000" sy="23000" kx="-1200000" algn="bl" rotWithShape="0">
            <a:prstClr val="black">
              <a:alpha val="2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Well-designed, effectively used systems</a:t>
          </a:r>
        </a:p>
      </dsp:txBody>
      <dsp:txXfrm>
        <a:off x="1949828" y="780909"/>
        <a:ext cx="788340" cy="62292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E4BA7-09FF-D84F-86BC-76A01CFF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4961</Words>
  <Characters>28279</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Bell</dc:creator>
  <cp:keywords/>
  <dc:description/>
  <cp:lastModifiedBy>Jeffery Smith</cp:lastModifiedBy>
  <cp:revision>2</cp:revision>
  <dcterms:created xsi:type="dcterms:W3CDTF">2021-07-09T18:09:00Z</dcterms:created>
  <dcterms:modified xsi:type="dcterms:W3CDTF">2021-07-09T18:09:00Z</dcterms:modified>
</cp:coreProperties>
</file>